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right="57"/>
        <w:jc w:val="center"/>
        <w:outlineLvl w:val="0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mc:AlternateContent>
          <mc:Choice Requires="wps">
            <w:drawing>
              <wp:anchor behindDoc="1" distT="12700" distB="12700" distL="13335" distR="12065" simplePos="0" locked="0" layoutInCell="1" allowOverlap="1" relativeHeight="2" wp14:anchorId="5EEFCDFC">
                <wp:simplePos x="0" y="0"/>
                <wp:positionH relativeFrom="column">
                  <wp:posOffset>3815715</wp:posOffset>
                </wp:positionH>
                <wp:positionV relativeFrom="paragraph">
                  <wp:posOffset>3810</wp:posOffset>
                </wp:positionV>
                <wp:extent cx="2200275" cy="1752600"/>
                <wp:effectExtent l="13335" t="12700" r="12065" b="12700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320" cy="175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white" stroked="t" o:allowincell="f" style="position:absolute;margin-left:300.45pt;margin-top:0.3pt;width:173.2pt;height:137.95pt;mso-wrap-style:none;v-text-anchor:middle" wp14:anchorId="5EEFCDFC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3" wp14:anchorId="0C5E6CBD">
                <wp:simplePos x="0" y="0"/>
                <wp:positionH relativeFrom="column">
                  <wp:posOffset>4053840</wp:posOffset>
                </wp:positionH>
                <wp:positionV relativeFrom="paragraph">
                  <wp:posOffset>89535</wp:posOffset>
                </wp:positionV>
                <wp:extent cx="1714500" cy="333375"/>
                <wp:effectExtent l="3175" t="3810" r="3175" b="2540"/>
                <wp:wrapNone/>
                <wp:docPr id="2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3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Место для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-кода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319.2pt;margin-top:7.05pt;width:134.95pt;height:26.2pt;mso-wrap-style:square;v-text-anchor:middle" wp14:anchorId="0C5E6CBD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user2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Место для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lang w:val="en-US"/>
                        </w:rPr>
                        <w:t>QR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-кода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P36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Форма проверочного листа, применяемого должностными лицами Департамента природных ресурсов, экологии и агропромышленного комплекса Ненецкого автономного округа при проведении рейдовых осмотров и выездных проверок при осуществлении федерального государственного лицензионного контроля (надзора) за деятельностью по заготовке, хранению, переработке и реализации лома черных металлов, цветных металлов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 Наименование органа государственного контроля (надзора): Департамент природных ресурсов, экологии и агропромышленного комплекса Ненецкого автономного округа (далее – Департамент ПР и АПК НАО).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 Проверочный лист утвержден приказом Департамента ПР и АПК НАО от 26.04.2022 № 18-пр «Об утверждении формы проверочного листа».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3. Вид контрольного (надзорного) мероприятия: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 Объект государственного контроля (надзора), в отношении которого проводится контрольное (надзорное) мероприятие: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 Фамилия, имя, отчество (при наличии) гражданина или индивидуального предпринимателя, его идентификационный номер налогоплательщика (далее - ИНН) и (или) основной государственный регистрационный номер индивидуального предпринимателя (далее – ИП), адрес регистрации гражданина или ИП, наименование юридического лица, его ИНН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 Место проведения контрольного (надзорного) мероприятия с заполнением проверочного листа: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7. Реквизиты решения Департамента ПР и АПК НАО о проведении контрольного (надзорного) мероприятия: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8. Учетный номер контрольного (надзорного) мероприятия: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9. Должность, фамилия и инициалы должностного лица</w:t>
        <w:br/>
        <w:t>Департамента ПР и АПК НАО, в должностные обязанности которого</w:t>
        <w:br/>
        <w:t>в соответствии с положением о виде контроля, должностным регламентом</w:t>
        <w:br/>
        <w:t>или должностной инструкцией входит осуществление полномочий проведение контрольных (надзорных) мероприятий, проводящего контрольное (надзорное) мероприятие и заполняющего проверочный лист (далее – инспектор):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10. 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W w:w="9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399"/>
        <w:gridCol w:w="2019"/>
        <w:gridCol w:w="700"/>
        <w:gridCol w:w="712"/>
        <w:gridCol w:w="848"/>
        <w:gridCol w:w="1690"/>
      </w:tblGrid>
      <w:tr>
        <w:trPr/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Перечень предъявляемых требований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Реквизиты нормативных правовых актов </w:t>
              <w:br/>
              <w:t>с указанием их структурных единиц, которыми установлены обязательные требования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Ответы на вопросы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>
        <w:trPr>
          <w:trHeight w:val="1134" w:hRule="atLeast"/>
          <w:cantSplit w:val="true"/>
        </w:trPr>
        <w:tc>
          <w:tcPr>
            <w:tcW w:w="3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>
        <w:trPr/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Вид выполняемых работ: заготовка, хранение, переработка и реализация лома и отходов черных и цветных металлов</w:t>
            </w:r>
          </w:p>
        </w:tc>
      </w:tr>
      <w:tr>
        <w:trPr/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Территория объекта. Земельный участок и (или) здания, строения, сооружения и помещения на объекте</w:t>
            </w:r>
          </w:p>
        </w:tc>
      </w:tr>
      <w:tr>
        <w:trPr>
          <w:trHeight w:val="1266" w:hRule="atLeast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1. Наличие у лицензиата земельных участков, необходимых для осуществления лицензируемой деятельности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 пункта 5 П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оложения о лицензировании деятельности по заготовке, хранению, переработке и реализации лома черных металлов, цветных металлов, утвержденного п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остановлением Правительства РФ от 28.05.2022 № 980 (далее – Положение)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2. Наличие у лицензиата документов, подтверждающих право собственности или иное законное основание владения земельным участком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3. Наличие у лицензиата зданий, строений, сооружений и помещений, необходимых для осуществления лицензируемой деятельности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4. Наличие у лицензиата документов, подтверждающих право собственности или иное законное основание владения зданиями, строениями, сооружениями и помещениями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5. Наличие на объекте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равил обращения с ломом и отходами черных и цветных металлов и их отчуждения, утвержденных п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остановлением Правительства РФ от 28.05.2022 № 980 (далее – Правила)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191" w:hRule="atLeast"/>
        </w:trPr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Технические средства и оборудование, техническая документация на объекте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6. Наличие у лицензиата, принимающего лом и отходы черных металлов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пресс для пакетирования или брикетирования лома черных металлов;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пресс-ножницы;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установка для дробления и сортировки легковесного лома;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оборудование для сортировки или измельчения стружки.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10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7. Наличие у лицензиата, осуществляющего переработку лома и отходов цветных металлов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оборудования: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пресс для пакетирования или брикетирования лома и отходов цветных металлов;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пресс-ножницы;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установка для дробления лома и (или) отходов цветных металлов;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установка для разделки кабеля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11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8. Наличие на объекте технической документации на оборудование (паспорт (формуляр) оборудования)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9. Наличие на объекте документов, подтверждающих право собственности или иное законное основание владения оборудованием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10. Наличие на каждом объекте по приему лома черных и (или) цветных металлов средств измерений для проведения радиационного контроля, сведения о которых содержатся в Федеральном информационном фонде по обеспечению единства измерений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345" w:hRule="atLeast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11. Наличие на объекте технической документации на оборудование для проведения радиационного контроля (паспорт (формуляр) оборудования)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</w:t>
            </w:r>
          </w:p>
          <w:p>
            <w:pPr>
              <w:pStyle w:val="Normal"/>
              <w:spacing w:lineRule="auto" w:line="240" w:before="0" w:after="0"/>
              <w:ind w:right="-119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12. Наличие на объекте документов о проведении поверок на оборудование для проведения радиационного контроля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13. Наличие на объекте документов, подтверждающих право собственности или иное законное основание владения оборудованием для проведения радиационного контроля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14. Наличие на каждом объекте по приему лома и отходов черных и (или) цветных металлов весовых средств измерений, сведения о которых содержатся в Федеральном информационном фонде по обеспечению единства измерений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15. Наличие на объекте технической документации на оборудование для весовых средств измерений (паспорт (формуляр) оборудования)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ind w:right="-119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16. Наличие на объекте документов о проведении поверок весовых средств измерений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ind w:right="-119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Положения;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17. Наличие на объекте документов, подтверждающих право собственности или иное законное основание владения весовых средств измерений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пункта 5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Требования к организации приема лома и отходов черных металлов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18. Наличие на каждом объекте по приему лома и отходов черных и (или) цветных металлов в доступном для обозрения месте следующей информации: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подпункт «а» </w:t>
              <w:br/>
              <w:t>пункта 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19. Наличие у юридического лица на каждом объекте по приему лома и отходов черных и (или) цветных металлов в доступном для обозрения месте информации о лице, ответственном за прием лома и отходов черных и (или)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подпункт «б» </w:t>
              <w:br/>
              <w:t>пункта 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20. Наличие на каждом объекте по приему лома и отходов черных и (или) цветных металлов в доступном для обозрения месте информации о распорядке работы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подпункт «в» </w:t>
              <w:br/>
              <w:t>пункта 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21. Наличие на каждом объекте по приему лома и отходов черных и (или) цветных металлов в доступном для обозрения месте информации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условиях приема и ценах на лом и отходы черных и (или)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«г»</w:t>
              <w:br/>
              <w:t xml:space="preserve"> пункта 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22. Наличие на каждом объекте по приему лома и отходов черных и (или) цветных металлов в доступном для обозрения месте ссылки на запись в реестре лицензий, содержащей сведения о действующей лицензии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2 статьи 3 Федерального закона от 04.05.2011 № 99-ФЗ «О лицензировании отдельных видов деятельности»;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«е»</w:t>
              <w:br/>
              <w:t xml:space="preserve"> пункта 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23. Наличие на каждом объекте по приему лома и отходов черных и (или) цветных металлов инструкции о порядке проведения радиационного контроля лома и отходов черных и (или) цветных металлов либо ее копии, заверенной уполномоченным представителем юридического лица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подпункт «а» </w:t>
              <w:br/>
              <w:t>пункта 5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24. Наличие на каждом объекте по приему лома и отходов черных и (или) цветных металлов инструкции о порядке действий при обнаружении радиоактивных лома и отходов черных и (или) цветных металлов либо ее копии, заверенной уполномоченным представителем юридического лица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подпункт «в»</w:t>
              <w:br/>
              <w:t>пункта 5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25. Наличие на каждом объекте по приему лома и отходов черных и (или) цветных металлов инструкции о порядке проверки лома и отходов черных и (или) цветных металлов на взрывобезопасность либо ее копии, заверенной уполномоченным представителем юридического лица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подпункт «б» </w:t>
              <w:br/>
              <w:t>пункта 5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26. Наличие на каждом объекте по приему лома и отходов черных и (или) цветных металлов инструкции о порядке действий при обнаружении взрывоопасных предметов либо ее копии, заверенной уполномоченным представителем юридического лица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 xml:space="preserve">подпункт «г» </w:t>
              <w:br/>
              <w:t>пункта 5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4. Специалисты, имеющие соответствующую квалификацию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27. Наличие на каждом объекте по приему лома и отходов черных и (или) цветных металлов контролера лома и отходов металла не ниже 2 разряда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28. Наличие на каждом объекте по приему лома и отходов черных и (или) цветных металлов документов, подтверждающих квалификацию контролера лома и отходов металла не ниже 2 разряда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29. Наличие на каждом объекте по приему лома и отходов черных и (или) цветных металлов 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30. Наличие на каждом объекте по приему лома и отходов черных и (или) цветных металлов документов, подтверждающих квалификацию лица, ответственного за проведение контроля лома и отходов черных и (или) цветных металлов на радиационную безопасность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31. Наличие на каждом объекте по приему лома черных металлов документов, подтверждающих аттестацию лица, ответственного за проведение контроля лома и отходов черных и (или) цветных металлов на радиационную безопасность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32. Наличие на каждом объекте по приему лома и отходов черных и (или) цветных металлов лица, ответственного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9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33. Наличие на каждом объекте по приему лома и отходов черных и (или) цветных металлов документов, подтверждающих квалификацию лица, ответственного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34. Наличие на каждом объекте по приему лома и отходов черных и (или) цветных металлов документов, подтверждающих аттестацию лица, ответственного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5. Порядок приема и учета лома и отходов черных металлов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35. Осуществление приема лома и отходов черных и (или) цветных металлов по массе нетто, определяемой как разность между массой брутто и массой транспортного средства, тары и засоренности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6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36. Осуществление приема лома и отходов черных и (или) цветных металлов только при предъявлении лицом, сдающим лом и отходы черных и (или) цветных металлов, документа, удостоверяющего личность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7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37. Прием лома и отходов черных и цветных металлов от юридических лиц и индивидуальных предпринимателей осуществляется в соответствии с условиями договора с юридическим лицом или индивидуальным предпринимателем, осуществляющим прием лома и отходов черных и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7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38. Обеспечение в установленном порядке проведение радиационного контроля каждой партии принимаемых лома и отходов черных и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39. Обеспечение в установленном порядке осуществление входного контроля каждой партии принимаемых лома и отходов черных и цветных металлов на взрывобезопасность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40. Наличие на объекте лица, ответственного за учет лома и отходов черных и (или)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12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41. Наличие на объекте приемо-сдаточных актов со сквозной нумерацией на бумажном носителе (до 01.01.2023), в виде электронного документа с использованием усиленной квалифицированной электронной подписи, на каждую партию принимаемого лома и отходов черных и цветных металлов, оформленных в соответствии с установленной формой (с 01.01.2023)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пункты 13, 14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42. Наличие регистрации приемо-сдаточных актов в книге учета приемо-сдаточных актов (далее – книга учета) до 01.01.2023 или в реестре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15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43. Сведения в реестре и приемо-сдаточные акты на лом и отходы черных металлов хранятся в течение 1 года со дня составления приемо-сдаточного акта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16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44. Сведения в реестре и приемо-сдаточные акты на лом и отходы цветных металлов хранятся в течение 3 лет со дня составления приемо-сдаточного акта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17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45. Наличие на объекте приемо-сдаточных актов, оформленных в соответствии с установленной формой в электронном виде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46.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Внесение в каждом случае приема лома и отходов черных и цветных металлов в реестр информации, необходимой для ее заполнения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15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47.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Наличие в книге учета подписи лиц, проводивших проверку лома и отходов черных металлов на взрывобезопасность и о радиационном контроле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48.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Наличие в книге учета подписи лица, сделавшего запись в книге учета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14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49. Осуществление отбора (извлечения) сопутствующих лома и отходов цветных металлов из лома и отходов черных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50. Осуществление отбора (извлечения) сопутствующих лома и отходов черных металлов из лома и отходов цветных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51. Составление акта отбора (извлечения) сопутствующих лома и отходов цветных металлов из лома и отходов черных металлов оформленного в соответствии с установленной формой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18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при наличии «да» в п. 45</w:t>
            </w:r>
          </w:p>
        </w:tc>
      </w:tr>
      <w:tr>
        <w:trPr/>
        <w:tc>
          <w:tcPr>
            <w:tcW w:w="9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6. Порядок учета отчуждаемых лома и отходов черных металлов</w:t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52. Наличие у юридического лица (индивидуального предпринимателя) журнала регистрации отгруженных лома и отходов черных металлов, оформленного в соответствии с установленной формой на бумажном носителе или в электронном виде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22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53. Наличие записей в журнале регистрации отгруженных лома и отходов черных металлов, каждой партии отчужденных лома и отходов черных металлов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  <w:t>пункт 23 Правил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59" w:before="0" w:after="12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lineRule="auto" w:line="259" w:before="0" w:after="12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Дата заполнения проверочного листа « ____» _________________ 20___г.</w:t>
      </w:r>
    </w:p>
    <w:tbl>
      <w:tblPr>
        <w:tblW w:w="93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5"/>
      </w:tblGrid>
      <w:tr>
        <w:trPr/>
        <w:tc>
          <w:tcPr>
            <w:tcW w:w="93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936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(должность и Ф.И.О. должностного лица Департамента ПР и АПК НАО, заполнившего проверочный лист) (подпись) (дата)</w:t>
            </w:r>
          </w:p>
        </w:tc>
      </w:tr>
      <w:tr>
        <w:trPr/>
        <w:tc>
          <w:tcPr>
            <w:tcW w:w="93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</w:r>
          </w:p>
        </w:tc>
      </w:tr>
      <w:tr>
        <w:trPr>
          <w:trHeight w:val="186" w:hRule="atLeast"/>
        </w:trPr>
        <w:tc>
          <w:tcPr>
            <w:tcW w:w="936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668" w:left="888" w:right="763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(должность и Ф.И.О. представителя юридического лица, индивидуального предпринимателя) (подпись) (дата)</w:t>
            </w:r>
          </w:p>
        </w:tc>
      </w:tr>
    </w:tbl>
    <w:p>
      <w:pPr>
        <w:pStyle w:val="Normal"/>
        <w:spacing w:lineRule="auto" w:line="259" w:before="0" w:after="16"/>
        <w:ind w:left="-14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по доверенности от «____»________________20___ г. № _________________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103"/>
        <w:jc w:val="righ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cs="Times New Roman" w:ascii="Times New Roman" w:hAnsi="Times New Roman"/>
          <w:color w:val="000000"/>
          <w:spacing w:val="-1"/>
          <w:sz w:val="26"/>
          <w:szCs w:val="26"/>
        </w:rPr>
        <w:t>».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103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cs="Times New Roman" w:ascii="Times New Roman" w:hAnsi="Times New Roman"/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5103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cs="Times New Roman" w:ascii="Times New Roman" w:hAnsi="Times New Roman"/>
          <w:color w:val="000000"/>
          <w:spacing w:val="-1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48a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f81394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f81394"/>
    <w:pPr>
      <w:keepNext w:val="true"/>
      <w:keepLines/>
      <w:spacing w:before="40" w:after="0"/>
      <w:outlineLvl w:val="1"/>
    </w:pPr>
    <w:rPr>
      <w:rFonts w:ascii="Cambria" w:hAnsi="Cambria" w:eastAsia="Calibri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f81394"/>
    <w:pPr>
      <w:keepNext w:val="true"/>
      <w:keepLines/>
      <w:spacing w:before="200" w:after="0"/>
      <w:outlineLvl w:val="2"/>
    </w:pPr>
    <w:rPr>
      <w:rFonts w:ascii="Cambria" w:hAnsi="Cambria" w:eastAsia="Calibri" w:cs="Times New Roman"/>
      <w:b/>
      <w:bCs/>
      <w:color w:val="4F81BD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f81394"/>
    <w:pPr>
      <w:keepNext w:val="true"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f81394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qFormat/>
    <w:rsid w:val="00fc3779"/>
    <w:rPr>
      <w:rFonts w:ascii="Tahoma" w:hAnsi="Tahoma" w:cs="Tahoma"/>
      <w:sz w:val="16"/>
      <w:szCs w:val="16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f85bf9"/>
    <w:rPr/>
  </w:style>
  <w:style w:type="character" w:styleId="Style11" w:customStyle="1">
    <w:name w:val="Нижний колонтитул Знак"/>
    <w:basedOn w:val="DefaultParagraphFont"/>
    <w:qFormat/>
    <w:rsid w:val="00f85bf9"/>
    <w:rPr/>
  </w:style>
  <w:style w:type="character" w:styleId="Hyperlink">
    <w:name w:val="Hyperlink"/>
    <w:uiPriority w:val="99"/>
    <w:unhideWhenUsed/>
    <w:rsid w:val="00e85ba6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f81394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qFormat/>
    <w:rsid w:val="00f81394"/>
    <w:rPr>
      <w:rFonts w:ascii="Cambria" w:hAnsi="Cambria" w:eastAsia="Calibri" w:cs="Times New Roman"/>
      <w:color w:val="365F91"/>
      <w:sz w:val="26"/>
      <w:szCs w:val="26"/>
    </w:rPr>
  </w:style>
  <w:style w:type="character" w:styleId="3" w:customStyle="1">
    <w:name w:val="Заголовок 3 Знак"/>
    <w:basedOn w:val="DefaultParagraphFont"/>
    <w:qFormat/>
    <w:rsid w:val="00f81394"/>
    <w:rPr>
      <w:rFonts w:ascii="Cambria" w:hAnsi="Cambria" w:eastAsia="Calibri" w:cs="Times New Roman"/>
      <w:b/>
      <w:bCs/>
      <w:color w:val="4F81BD"/>
    </w:rPr>
  </w:style>
  <w:style w:type="character" w:styleId="4" w:customStyle="1">
    <w:name w:val="Заголовок 4 Знак"/>
    <w:basedOn w:val="DefaultParagraphFont"/>
    <w:semiHidden/>
    <w:qFormat/>
    <w:rsid w:val="00f81394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semiHidden/>
    <w:qFormat/>
    <w:rsid w:val="00f81394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pt-a0" w:customStyle="1">
    <w:name w:val="pt-a0"/>
    <w:basedOn w:val="DefaultParagraphFont"/>
    <w:qFormat/>
    <w:rsid w:val="00f81394"/>
    <w:rPr/>
  </w:style>
  <w:style w:type="character" w:styleId="pt-a0-000011" w:customStyle="1">
    <w:name w:val="pt-a0-000011"/>
    <w:basedOn w:val="DefaultParagraphFont"/>
    <w:qFormat/>
    <w:rsid w:val="00f81394"/>
    <w:rPr/>
  </w:style>
  <w:style w:type="character" w:styleId="Style12" w:customStyle="1">
    <w:name w:val="Гипертекстовая ссылка"/>
    <w:basedOn w:val="DefaultParagraphFont"/>
    <w:uiPriority w:val="99"/>
    <w:qFormat/>
    <w:rsid w:val="00f81394"/>
    <w:rPr>
      <w:color w:val="106BBE"/>
    </w:rPr>
  </w:style>
  <w:style w:type="character" w:styleId="Style13" w:customStyle="1">
    <w:name w:val="Текст сноски Знак"/>
    <w:basedOn w:val="DefaultParagraphFont"/>
    <w:semiHidden/>
    <w:qFormat/>
    <w:rsid w:val="00f81394"/>
    <w:rPr>
      <w:rFonts w:ascii="Calibri" w:hAnsi="Calibri" w:eastAsia="Times New Roman" w:cs="Times New Roman"/>
      <w:sz w:val="20"/>
      <w:szCs w:val="20"/>
    </w:rPr>
  </w:style>
  <w:style w:type="character" w:styleId="user" w:customStyle="1">
    <w:name w:val="Символ сноски (user)"/>
    <w:semiHidden/>
    <w:qFormat/>
    <w:rsid w:val="00f81394"/>
    <w:rPr>
      <w:rFonts w:cs="Times New Roman"/>
      <w:vertAlign w:val="superscript"/>
    </w:rPr>
  </w:style>
  <w:style w:type="character" w:styleId="Style14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PageNumber">
    <w:name w:val="page number"/>
    <w:basedOn w:val="DefaultParagraphFont"/>
    <w:qFormat/>
    <w:rsid w:val="00f81394"/>
    <w:rPr/>
  </w:style>
  <w:style w:type="character" w:styleId="Style15" w:customStyle="1">
    <w:name w:val="Название Знак"/>
    <w:basedOn w:val="DefaultParagraphFont"/>
    <w:qFormat/>
    <w:rsid w:val="00f81394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yle16" w:customStyle="1">
    <w:name w:val="Основной текст Знак"/>
    <w:basedOn w:val="DefaultParagraphFont"/>
    <w:qFormat/>
    <w:rsid w:val="00f8139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mmentReference">
    <w:name w:val="annotation reference"/>
    <w:qFormat/>
    <w:rsid w:val="00f81394"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sid w:val="00f81394"/>
    <w:rPr>
      <w:rFonts w:ascii="Calibri" w:hAnsi="Calibri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qFormat/>
    <w:rsid w:val="00f81394"/>
    <w:rPr>
      <w:rFonts w:ascii="Calibri" w:hAnsi="Calibri" w:eastAsia="Times New Roman" w:cs="Times New Roman"/>
      <w:b/>
      <w:bCs/>
      <w:sz w:val="20"/>
      <w:szCs w:val="20"/>
    </w:rPr>
  </w:style>
  <w:style w:type="character" w:styleId="searchresult" w:customStyle="1">
    <w:name w:val="search_result"/>
    <w:qFormat/>
    <w:rsid w:val="00f81394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6"/>
    <w:rsid w:val="00f81394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9"/>
    <w:unhideWhenUsed/>
    <w:qFormat/>
    <w:rsid w:val="00fc377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77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qFormat/>
    <w:rsid w:val="00fc3779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fc3779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fc377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f85b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nhideWhenUsed/>
    <w:rsid w:val="00f85b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Cell" w:customStyle="1">
    <w:name w:val="ConsPlusCell"/>
    <w:uiPriority w:val="99"/>
    <w:qFormat/>
    <w:rsid w:val="00e85ba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b4038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Style13"/>
    <w:semiHidden/>
    <w:rsid w:val="00f81394"/>
    <w:pPr>
      <w:spacing w:lineRule="auto" w:line="240" w:before="0" w:after="0"/>
    </w:pPr>
    <w:rPr>
      <w:rFonts w:ascii="Calibri" w:hAnsi="Calibri" w:eastAsia="Times New Roman" w:cs="Times New Roman"/>
      <w:sz w:val="20"/>
      <w:szCs w:val="20"/>
    </w:rPr>
  </w:style>
  <w:style w:type="paragraph" w:styleId="11" w:customStyle="1">
    <w:name w:val="Абзац списка1"/>
    <w:basedOn w:val="Normal"/>
    <w:qFormat/>
    <w:rsid w:val="00f81394"/>
    <w:pPr>
      <w:ind w:left="720"/>
    </w:pPr>
    <w:rPr>
      <w:rFonts w:ascii="Calibri" w:hAnsi="Calibri" w:eastAsia="Times New Roman" w:cs="Times New Roman"/>
    </w:rPr>
  </w:style>
  <w:style w:type="paragraph" w:styleId="Title">
    <w:name w:val="Title"/>
    <w:basedOn w:val="Normal"/>
    <w:link w:val="Style15"/>
    <w:qFormat/>
    <w:rsid w:val="00f81394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CommentText">
    <w:name w:val="annotation text"/>
    <w:basedOn w:val="Normal"/>
    <w:link w:val="Style17"/>
    <w:qFormat/>
    <w:rsid w:val="00f81394"/>
    <w:pPr/>
    <w:rPr>
      <w:rFonts w:ascii="Calibri" w:hAnsi="Calibri" w:eastAsia="Times New Roman" w:cs="Times New Roman"/>
      <w:sz w:val="20"/>
      <w:szCs w:val="20"/>
    </w:rPr>
  </w:style>
  <w:style w:type="paragraph" w:styleId="annotationsubject">
    <w:name w:val="annotation subject"/>
    <w:basedOn w:val="CommentText"/>
    <w:next w:val="CommentText"/>
    <w:link w:val="Style18"/>
    <w:qFormat/>
    <w:rsid w:val="00f81394"/>
    <w:pPr/>
    <w:rPr>
      <w:b/>
      <w:bCs/>
    </w:rPr>
  </w:style>
  <w:style w:type="paragraph" w:styleId="user2" w:customStyle="1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e85ba6"/>
  </w:style>
  <w:style w:type="numbering" w:styleId="21" w:customStyle="1">
    <w:name w:val="Нет списка2"/>
    <w:uiPriority w:val="99"/>
    <w:semiHidden/>
    <w:unhideWhenUsed/>
    <w:qFormat/>
    <w:rsid w:val="00f8139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85ba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rsid w:val="00e85ba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9D79-8557-47DB-AA78-680BF58B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LibreOffice/25.2.6.2$Linux_X86_64 LibreOffice_project/520$Build-2</Application>
  <AppVersion>15.0000</AppVersion>
  <Pages>8</Pages>
  <Words>2034</Words>
  <Characters>14076</Characters>
  <CharactersWithSpaces>15950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2025-12-09T06:22:00Z</dcterms:created>
  <dc:creator>Журавлёва Нона Владимировна</dc:creator>
  <dc:description/>
  <dc:language>ru-RU</dc:language>
  <cp:lastModifiedBy/>
  <cp:lastPrinted>2025-12-22T10:38:00Z</cp:lastPrinted>
  <dcterms:modified xsi:type="dcterms:W3CDTF">2026-01-30T09:00:15Z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