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Pr="006F7202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 о деятельности Департамента ПР и АПК НАО</w:t>
      </w:r>
      <w:r w:rsidR="004579B5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6D75" w:rsidRPr="006F7202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</w:t>
      </w:r>
      <w:r w:rsidR="003E49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07</w:t>
      </w:r>
      <w:r w:rsidR="00D347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3E49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</w:t>
      </w:r>
      <w:r w:rsidR="00D347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607FDA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="003E49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11</w:t>
      </w:r>
      <w:r w:rsidR="00C178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6A7D1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</w:t>
      </w:r>
      <w:r w:rsidR="00833B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.201</w:t>
      </w:r>
      <w:r w:rsidR="009C0AA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)</w:t>
      </w:r>
    </w:p>
    <w:p w:rsidR="00DA6D75" w:rsidRPr="006F7202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3B78" w:rsidRPr="006F7202" w:rsidRDefault="00433B78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Pr="006F7202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77213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A7A3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A77213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>Направлен еженедельный ценовой мониторинг.</w:t>
      </w: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>Подготовка и проведение мероприятия посвященного Дню работника сельского хозяйства и перерабатывающей промышленности.</w:t>
      </w: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 xml:space="preserve">Внесены статистические данные в Государственную информационную систему промышленности (ГИСП), а именно: </w:t>
      </w:r>
      <w:r w:rsidRPr="007535AE">
        <w:rPr>
          <w:rStyle w:val="span-left-20"/>
          <w:rFonts w:ascii="Times New Roman" w:hAnsi="Times New Roman" w:cs="Times New Roman"/>
          <w:sz w:val="26"/>
          <w:szCs w:val="26"/>
        </w:rPr>
        <w:t>Индекс промышленного производства (в %), Число работников, занятых в промышленности (тыс. чел.), Среднемесячная начисленная заработная плата работников промышленных предприятий и организаций (тыс. руб.)</w:t>
      </w: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>Рассмотрены документы и выдана лицензия на розничную продажу алкогольной продукции</w:t>
      </w: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>По результатам мероприятия по контролю без взаимодействия с юридическими лицами, индивидуальными предпринимателями посредством использования «Личного кабинета» Департамента в федеральной государственной информационной системе Федеральной службы по регулированию алкогольного рынка вынесено постановление о привлечении к административной ответственности по части 2 статьи 14.6 КоАП РФ «Нарушение порядка ценообразования».</w:t>
      </w:r>
    </w:p>
    <w:p w:rsidR="00A77213" w:rsidRPr="007535AE" w:rsidRDefault="00A77213" w:rsidP="00A77213">
      <w:pPr>
        <w:pStyle w:val="a3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7535AE">
        <w:rPr>
          <w:rFonts w:ascii="Times New Roman" w:hAnsi="Times New Roman" w:cs="Times New Roman"/>
          <w:sz w:val="26"/>
          <w:szCs w:val="26"/>
        </w:rPr>
        <w:t>В соответствии с приказом Росстата от 06.05.2015 № 217                              подготовлена и</w:t>
      </w:r>
      <w:r>
        <w:rPr>
          <w:rFonts w:ascii="Times New Roman" w:hAnsi="Times New Roman" w:cs="Times New Roman"/>
          <w:sz w:val="26"/>
          <w:szCs w:val="26"/>
        </w:rPr>
        <w:t xml:space="preserve">нформация и размещена на сайте ГАС «Управление» </w:t>
      </w:r>
      <w:r w:rsidRPr="007535AE">
        <w:rPr>
          <w:rFonts w:ascii="Times New Roman" w:hAnsi="Times New Roman" w:cs="Times New Roman"/>
          <w:sz w:val="26"/>
          <w:szCs w:val="26"/>
        </w:rPr>
        <w:t xml:space="preserve">форма статистического наблюдения № 1-ГУ </w:t>
      </w:r>
      <w:r>
        <w:rPr>
          <w:rFonts w:ascii="Times New Roman" w:hAnsi="Times New Roman" w:cs="Times New Roman"/>
          <w:sz w:val="26"/>
          <w:szCs w:val="26"/>
        </w:rPr>
        <w:t xml:space="preserve">за 3 квартал </w:t>
      </w:r>
      <w:r w:rsidRPr="007535AE">
        <w:rPr>
          <w:rFonts w:ascii="Times New Roman" w:hAnsi="Times New Roman" w:cs="Times New Roman"/>
          <w:sz w:val="26"/>
          <w:szCs w:val="26"/>
        </w:rPr>
        <w:t>2019 года.</w:t>
      </w:r>
    </w:p>
    <w:p w:rsidR="00A77213" w:rsidRPr="00E849C1" w:rsidRDefault="00A77213" w:rsidP="00A77213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213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A77213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Принято участие в 21-й Российской агропромышленной выставке «Золотая осень -2019»;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C7F51">
        <w:rPr>
          <w:rFonts w:ascii="Times New Roman" w:hAnsi="Times New Roman" w:cs="Times New Roman"/>
          <w:sz w:val="26"/>
          <w:szCs w:val="26"/>
        </w:rPr>
        <w:t xml:space="preserve"> </w:t>
      </w:r>
      <w:r w:rsidRPr="00DD66CF">
        <w:rPr>
          <w:rFonts w:ascii="Times New Roman" w:hAnsi="Times New Roman" w:cs="Times New Roman"/>
          <w:sz w:val="26"/>
          <w:szCs w:val="26"/>
        </w:rPr>
        <w:t xml:space="preserve">Подготовлены отчеты </w:t>
      </w:r>
      <w:r>
        <w:rPr>
          <w:rFonts w:ascii="Times New Roman" w:hAnsi="Times New Roman" w:cs="Times New Roman"/>
          <w:sz w:val="26"/>
          <w:szCs w:val="26"/>
        </w:rPr>
        <w:t>на 1 октября 2019 г в ИС ПК ГП: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 финансово-экономическом состоянии получателей средств (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форма  ФПМСП</w:t>
      </w:r>
      <w:proofErr w:type="gramEnd"/>
      <w:r>
        <w:rPr>
          <w:rFonts w:ascii="Times New Roman" w:hAnsi="Times New Roman" w:cs="Times New Roman"/>
          <w:sz w:val="26"/>
          <w:szCs w:val="26"/>
        </w:rPr>
        <w:t>-ФЭС);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содержащий информацию об использовании средств бюджетов субъектов РФ, которым предоставляются иные межбюджетные трансферты;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D6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Внесение изменений в бюджетную заявку</w:t>
      </w:r>
      <w:r w:rsidRPr="00DD6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проекту окружного закона</w:t>
      </w:r>
      <w:r w:rsidRPr="00DD66CF">
        <w:rPr>
          <w:rFonts w:ascii="Times New Roman" w:hAnsi="Times New Roman" w:cs="Times New Roman"/>
          <w:sz w:val="26"/>
          <w:szCs w:val="26"/>
        </w:rPr>
        <w:t xml:space="preserve"> «Об окружном бюджете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D66C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D66CF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66CF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Подготовка и направление в МСХ РФ еженедельного отчета о текущем освоении средств федерального бюджета;</w:t>
      </w:r>
    </w:p>
    <w:p w:rsidR="00A77213" w:rsidRPr="00543535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3E6FBE">
        <w:t xml:space="preserve"> </w:t>
      </w:r>
      <w:r>
        <w:rPr>
          <w:rFonts w:ascii="Times New Roman" w:hAnsi="Times New Roman" w:cs="Times New Roman"/>
          <w:sz w:val="26"/>
          <w:szCs w:val="26"/>
        </w:rPr>
        <w:t>Доработка и отправка соглашений</w:t>
      </w:r>
      <w:r w:rsidRPr="003E6FBE">
        <w:rPr>
          <w:rFonts w:ascii="Times New Roman" w:hAnsi="Times New Roman" w:cs="Times New Roman"/>
          <w:sz w:val="26"/>
          <w:szCs w:val="26"/>
        </w:rPr>
        <w:t xml:space="preserve"> о предоставлении гранта К(Ф)Х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Лаптандер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</w:t>
      </w:r>
      <w:r w:rsidRPr="003E6F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Латышев А.П.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77213" w:rsidRPr="00543535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102EDB"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Подготовлена заявка на у</w:t>
      </w:r>
      <w:r w:rsidRPr="00102EDB">
        <w:rPr>
          <w:rFonts w:ascii="Times New Roman" w:hAnsi="Times New Roman" w:cs="Times New Roman"/>
          <w:sz w:val="26"/>
          <w:szCs w:val="26"/>
        </w:rPr>
        <w:t>велич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102EDB">
        <w:rPr>
          <w:rFonts w:ascii="Times New Roman" w:hAnsi="Times New Roman" w:cs="Times New Roman"/>
          <w:sz w:val="26"/>
          <w:szCs w:val="26"/>
        </w:rPr>
        <w:t xml:space="preserve"> предельны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02EDB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02E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ED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02EDB">
        <w:rPr>
          <w:rFonts w:ascii="Times New Roman" w:hAnsi="Times New Roman" w:cs="Times New Roman"/>
          <w:sz w:val="26"/>
          <w:szCs w:val="26"/>
        </w:rPr>
        <w:t xml:space="preserve"> расходов бюджета Ненецкого автономного округа из федерального бюджета на создание системы поддержки фермеров </w:t>
      </w:r>
      <w:r>
        <w:rPr>
          <w:rFonts w:ascii="Times New Roman" w:hAnsi="Times New Roman" w:cs="Times New Roman"/>
          <w:sz w:val="26"/>
          <w:szCs w:val="26"/>
        </w:rPr>
        <w:t xml:space="preserve">и развитие сельской кооперации </w:t>
      </w:r>
      <w:r w:rsidRPr="00102EDB">
        <w:rPr>
          <w:rFonts w:ascii="Times New Roman" w:hAnsi="Times New Roman" w:cs="Times New Roman"/>
          <w:sz w:val="26"/>
          <w:szCs w:val="26"/>
        </w:rPr>
        <w:t>в октябре 2019 года на декабрь 2019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7213" w:rsidRPr="003E6FBE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43535">
        <w:rPr>
          <w:rFonts w:ascii="Times New Roman" w:hAnsi="Times New Roman" w:cs="Times New Roman"/>
          <w:sz w:val="26"/>
          <w:szCs w:val="26"/>
        </w:rPr>
        <w:t>.</w:t>
      </w:r>
      <w:r w:rsidRPr="003E6FBE">
        <w:t xml:space="preserve"> </w:t>
      </w:r>
      <w:r w:rsidRPr="003E6FBE">
        <w:rPr>
          <w:rFonts w:ascii="Times New Roman" w:hAnsi="Times New Roman" w:cs="Times New Roman"/>
          <w:sz w:val="26"/>
          <w:szCs w:val="26"/>
        </w:rPr>
        <w:t>Ответы в Минсельхоз: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720EA">
        <w:rPr>
          <w:rFonts w:ascii="Times New Roman" w:hAnsi="Times New Roman" w:cs="Times New Roman"/>
          <w:sz w:val="26"/>
          <w:szCs w:val="26"/>
        </w:rPr>
        <w:t>об отсутствии дополнительной потребности в финансировании мероприятий по созданию системы поддержки фермеров из средств федерального бюджета на 2020 год и пл</w:t>
      </w:r>
      <w:r>
        <w:rPr>
          <w:rFonts w:ascii="Times New Roman" w:hAnsi="Times New Roman" w:cs="Times New Roman"/>
          <w:sz w:val="26"/>
          <w:szCs w:val="26"/>
        </w:rPr>
        <w:t>ановый период 2021 и 2022 годов</w:t>
      </w:r>
      <w:r w:rsidRPr="003E6FBE">
        <w:rPr>
          <w:rFonts w:ascii="Times New Roman" w:hAnsi="Times New Roman" w:cs="Times New Roman"/>
          <w:sz w:val="26"/>
          <w:szCs w:val="26"/>
        </w:rPr>
        <w:t>;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20EA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720EA">
        <w:rPr>
          <w:rFonts w:ascii="Times New Roman" w:hAnsi="Times New Roman" w:cs="Times New Roman"/>
          <w:sz w:val="26"/>
          <w:szCs w:val="26"/>
        </w:rPr>
        <w:t xml:space="preserve"> о получателях мер поддержки в рамках федерального проекта «Создание системы поддержки фермеров и развитие сельской кооперации»</w:t>
      </w:r>
      <w:r w:rsidR="00773048">
        <w:rPr>
          <w:rFonts w:ascii="Times New Roman" w:hAnsi="Times New Roman" w:cs="Times New Roman"/>
          <w:sz w:val="26"/>
          <w:szCs w:val="26"/>
        </w:rPr>
        <w:t>.</w:t>
      </w:r>
    </w:p>
    <w:p w:rsidR="00A77213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Подготовка к празднованию Дня работника с/х и перерабатывающей промышленности.</w:t>
      </w:r>
    </w:p>
    <w:p w:rsidR="00A77213" w:rsidRDefault="00A77213" w:rsidP="00A772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213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13B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A77213" w:rsidRPr="00BB2241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213" w:rsidRPr="00673404" w:rsidRDefault="00A77213" w:rsidP="00A772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1. 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квартальной и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еженедельной информации в АИС «СМ ПБ» и АИС ПК ГП Минсельхоза России (КОБ и П, НРМОЛ, ГП-71_ур, ГП-71_ж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т.д.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).</w:t>
      </w:r>
    </w:p>
    <w:p w:rsidR="00A77213" w:rsidRPr="00673404" w:rsidRDefault="00A77213" w:rsidP="00A772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Доработка проекта Порядка проведения оценки эффективности использования оленьих пастбищ (по замечаниям правового управления Аппарата Администрации НАО).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Получено заключение правового Управления Аппарата Администрации НАО.</w:t>
      </w:r>
    </w:p>
    <w:p w:rsidR="00A77213" w:rsidRPr="00673404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673404">
        <w:rPr>
          <w:rFonts w:ascii="Times New Roman" w:hAnsi="Times New Roman" w:cs="Times New Roman"/>
          <w:sz w:val="26"/>
          <w:szCs w:val="26"/>
        </w:rPr>
        <w:t xml:space="preserve">Рассмотрение документов сельскохозяйственных организаций, представленных </w:t>
      </w:r>
      <w:r w:rsidRPr="00673404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673404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килограмм реализованного и (или) отгруженного на собственную переработку молока за счет средств окружного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АО «НАК», КФХ Ардеева, МКП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Великовисочный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ЖК.</w:t>
      </w:r>
    </w:p>
    <w:p w:rsidR="00A77213" w:rsidRPr="00673404" w:rsidRDefault="00A77213" w:rsidP="00A7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Подготовка к проведению Межведомственной рабочей группы по развитию молочного животноводства. Запланирована на 16.10.2019.</w:t>
      </w:r>
    </w:p>
    <w:p w:rsidR="00A77213" w:rsidRDefault="00A77213" w:rsidP="00A77213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Pr="00631953">
        <w:rPr>
          <w:b w:val="0"/>
          <w:sz w:val="26"/>
          <w:szCs w:val="26"/>
        </w:rPr>
        <w:t xml:space="preserve">. Участие в работе панельной дискуссии </w:t>
      </w:r>
      <w:r>
        <w:rPr>
          <w:b w:val="0"/>
          <w:sz w:val="26"/>
          <w:szCs w:val="26"/>
        </w:rPr>
        <w:t xml:space="preserve">Минсельхоза России </w:t>
      </w:r>
      <w:r w:rsidRPr="00631953">
        <w:rPr>
          <w:b w:val="0"/>
          <w:sz w:val="26"/>
          <w:szCs w:val="26"/>
        </w:rPr>
        <w:t>«Совершенствование управления племенным животноводством. Полномочия и функции»</w:t>
      </w:r>
      <w:r>
        <w:rPr>
          <w:b w:val="0"/>
          <w:sz w:val="26"/>
          <w:szCs w:val="26"/>
        </w:rPr>
        <w:t>.</w:t>
      </w:r>
    </w:p>
    <w:p w:rsidR="00A77213" w:rsidRPr="00631953" w:rsidRDefault="00A77213" w:rsidP="00A77213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 Предоставлен квартальный отчет ГФИ по НАО.</w:t>
      </w:r>
    </w:p>
    <w:p w:rsidR="00A77213" w:rsidRPr="00BB2241" w:rsidRDefault="00A77213" w:rsidP="00A7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213" w:rsidRPr="00935335" w:rsidRDefault="00A77213" w:rsidP="00A77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335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935335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A77213" w:rsidRPr="00935335" w:rsidRDefault="00A77213" w:rsidP="00A77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Принято на рассмотрение 15</w:t>
      </w:r>
      <w:r w:rsidRPr="009353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заключение договоров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Федерации, подготовлено 15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для подписания пользователями. </w:t>
      </w: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2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по заключению договора пользования водными биологическими ресурсами, общий допустимый улов которых не устанавливается, для осуществления промышленн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рыболовства и подготовлено 2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договора.</w:t>
      </w: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Приняли участие в работе совещания, проводимого Собранием депутатов Ненецкого автономного округа по вопросам рыболовства на территории округа.</w:t>
      </w: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Актуализирована информация в государственный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реестр.</w:t>
      </w: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Переписка по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рыбохозяйственным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вопросам.</w:t>
      </w:r>
    </w:p>
    <w:p w:rsidR="00A77213" w:rsidRPr="00935335" w:rsidRDefault="00A77213" w:rsidP="00A77213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Оказана консультационная помощь гражданам, ИП и ЮЛ по вопросам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деятельности.</w:t>
      </w:r>
    </w:p>
    <w:p w:rsidR="00F56769" w:rsidRPr="002E642F" w:rsidRDefault="00F56769" w:rsidP="00F56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586" w:rsidRPr="006F7202" w:rsidRDefault="00863586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A77213" w:rsidRDefault="009D7F7F" w:rsidP="009D7F7F">
      <w:pPr>
        <w:pStyle w:val="a3"/>
        <w:spacing w:after="0" w:line="240" w:lineRule="auto"/>
        <w:ind w:left="1069" w:hanging="106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 государственного контроля</w:t>
      </w:r>
    </w:p>
    <w:p w:rsidR="009D7F7F" w:rsidRPr="00A77213" w:rsidRDefault="009D7F7F" w:rsidP="009D7F7F">
      <w:pPr>
        <w:pStyle w:val="a3"/>
        <w:spacing w:after="0" w:line="240" w:lineRule="auto"/>
        <w:ind w:left="1069" w:hanging="106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7213" w:rsidRPr="00A77213" w:rsidRDefault="00A77213" w:rsidP="00A772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Охрана и использование объектов животного мира, охота</w:t>
      </w:r>
    </w:p>
    <w:p w:rsidR="00A77213" w:rsidRPr="00A77213" w:rsidRDefault="00A77213" w:rsidP="00A772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Выдано разрешений на добычу охотничьих ресурсов – 25. Всего на осенне-зимний сезон охоты 2019-2020 выдано 1086 разрешений;</w:t>
      </w:r>
    </w:p>
    <w:p w:rsidR="00A77213" w:rsidRPr="00A77213" w:rsidRDefault="00A77213" w:rsidP="00A772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Рассмотрение отчёта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ВятГУ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и подготовка замечаний в рамках исполнения контракта от 11.06.2019 № 864157.</w:t>
      </w:r>
    </w:p>
    <w:p w:rsidR="00A77213" w:rsidRPr="00A77213" w:rsidRDefault="00A77213" w:rsidP="00A772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Проведение аукциона на право заключения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охотхозяйственных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соглашений.</w:t>
      </w:r>
    </w:p>
    <w:p w:rsidR="00A77213" w:rsidRPr="00A77213" w:rsidRDefault="00A77213" w:rsidP="00A772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Подготовка и 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77213">
        <w:rPr>
          <w:rFonts w:ascii="Times New Roman" w:hAnsi="Times New Roman" w:cs="Times New Roman"/>
          <w:sz w:val="26"/>
          <w:szCs w:val="26"/>
        </w:rPr>
        <w:t xml:space="preserve"> информации об отсутствии ООПТ, земель лесного фонда, водно-болотных угодий, ключевых орнитологических территорий.</w:t>
      </w:r>
    </w:p>
    <w:p w:rsidR="00A77213" w:rsidRPr="00A77213" w:rsidRDefault="00A77213" w:rsidP="00A77213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77213" w:rsidRPr="00A77213" w:rsidRDefault="00A77213" w:rsidP="00A772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i/>
          <w:sz w:val="26"/>
          <w:szCs w:val="26"/>
          <w:u w:val="single"/>
        </w:rPr>
        <w:t>Охрана окружающей среды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Рассмотрение административного дела в отношении должностного лица за накопление отходов в сроки, превышающие 11 месяцев.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Подготовка к плановой проверке ГБОУ НАО «СШ № 1 им. П.М.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Спирихина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>».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Участие в работе комиссии по приёмке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земельных участков в районе скважины № 713 на Ненецком участке недр.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ПАО МТС по вопросу внесения изменений в государственный реестр </w:t>
      </w:r>
      <w:proofErr w:type="gramStart"/>
      <w:r w:rsidRPr="00A77213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A77213">
        <w:rPr>
          <w:rFonts w:ascii="Times New Roman" w:hAnsi="Times New Roman" w:cs="Times New Roman"/>
          <w:sz w:val="26"/>
          <w:szCs w:val="26"/>
        </w:rPr>
        <w:t xml:space="preserve"> оказывающих негативное воздействие на окружающую среду.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Подготовка информации (заполнение опросного листа) по обращению публичной правовой компании «Российский экологический оператор».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Организация и проведение внеплановой документарной проверки, оформление результатов.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Организация взаимодействия м Минприроды России по вопросу предоставления отчета о переходе на новую систему обращения с твердыми коммунальными отходами.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Организация взаимодействия с ООО «Размах ГП» по вопросу проведения инженерных изысканий.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Работа по корректировке Территориальной схемы обращения с отходами, рассмотрение поступивших предложений.</w:t>
      </w:r>
    </w:p>
    <w:p w:rsidR="00A77213" w:rsidRPr="00A77213" w:rsidRDefault="00A77213" w:rsidP="00A77213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Мониторинг «карты свалок», ведение реестра свалок. Направление информации о ликвидации мест размещения отходов в ОНФ для их исключения с карты.</w:t>
      </w:r>
    </w:p>
    <w:p w:rsidR="00A77213" w:rsidRPr="00A77213" w:rsidRDefault="00A77213" w:rsidP="00773048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Направление информации по несанкционированным свалкам в МО «Городской округ «г. Нарьян-Мар» и о принятии мер по их ликвидации. Направление информации в Управление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Роспироднадзора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по НАО о свалках в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зоне р. Печоры.</w:t>
      </w:r>
    </w:p>
    <w:p w:rsidR="00A77213" w:rsidRPr="00A77213" w:rsidRDefault="00A77213" w:rsidP="00A772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77213" w:rsidRPr="00A77213" w:rsidRDefault="00A77213" w:rsidP="00A7721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i/>
          <w:sz w:val="26"/>
          <w:szCs w:val="26"/>
          <w:u w:val="single"/>
        </w:rPr>
        <w:t>Лесопользование</w:t>
      </w:r>
    </w:p>
    <w:p w:rsidR="00A77213" w:rsidRPr="00A77213" w:rsidRDefault="00A77213" w:rsidP="00A77213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A77213" w:rsidRPr="00A77213" w:rsidRDefault="00A77213" w:rsidP="00A77213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Согласование проекта постановления Администрации Ненецкого автономного округа Администрации «О внесении изменений в государственную </w:t>
      </w:r>
      <w:r w:rsidRPr="00A77213">
        <w:rPr>
          <w:rFonts w:ascii="Times New Roman" w:hAnsi="Times New Roman" w:cs="Times New Roman"/>
          <w:sz w:val="26"/>
          <w:szCs w:val="26"/>
        </w:rPr>
        <w:lastRenderedPageBreak/>
        <w:t>программу Ненецкого автономного округа «Охрана окружающей среды и воспроизводство природных ресурсов».</w:t>
      </w:r>
    </w:p>
    <w:p w:rsidR="00A77213" w:rsidRPr="00A77213" w:rsidRDefault="00A77213" w:rsidP="00A77213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Подготовка и направление в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ДФиЭ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НАО квартального отчета по программе Ненецкого автономного округа «Охрана окружающей среды и воспроизводство природных ресурсов».</w:t>
      </w:r>
    </w:p>
    <w:p w:rsidR="00A77213" w:rsidRPr="00A77213" w:rsidRDefault="00A77213" w:rsidP="00A77213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Рассмотрение обращения ОМННО «Совет Гринпис» в связи с отсутствием на сайте Департамента ПР и АПК НАО информации о лесах, актуализация данных на сайте Департамента в соответствии с приказом Минприроды России № 301 от 29.06.2018.</w:t>
      </w:r>
    </w:p>
    <w:p w:rsidR="00A77213" w:rsidRPr="00A77213" w:rsidRDefault="00A77213" w:rsidP="00A772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Сектор недропользования</w:t>
      </w:r>
    </w:p>
    <w:p w:rsidR="00A77213" w:rsidRPr="00A77213" w:rsidRDefault="00A77213" w:rsidP="00A77213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77213" w:rsidRPr="00A77213" w:rsidRDefault="00A77213" w:rsidP="00A772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Подготовлена информации по запросам Отдела геологии и лицензирования Департамента по недропользованию по Северо-Западному федеральному округу, на континентальном шельфе и в Мировом океане по Ненецкому автономному округу (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НАОнедра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>) о наличии (отсутствии) ОПИ;</w:t>
      </w:r>
    </w:p>
    <w:p w:rsidR="00A77213" w:rsidRPr="00A77213" w:rsidRDefault="00A77213" w:rsidP="00A772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77213">
        <w:rPr>
          <w:rFonts w:ascii="Times New Roman" w:hAnsi="Times New Roman" w:cs="Times New Roman"/>
          <w:sz w:val="26"/>
          <w:szCs w:val="26"/>
        </w:rPr>
        <w:t>ассмотрен проект федерального закона № 781847-7 «О внесении изменений в Закон Российской Федерации «О недрах» в части совершенствования добычи</w:t>
      </w:r>
      <w:r w:rsidR="00773048">
        <w:rPr>
          <w:rFonts w:ascii="Times New Roman" w:hAnsi="Times New Roman" w:cs="Times New Roman"/>
          <w:sz w:val="26"/>
          <w:szCs w:val="26"/>
        </w:rPr>
        <w:t xml:space="preserve"> попутных полезных ископаемых, </w:t>
      </w:r>
      <w:r w:rsidRPr="00A77213">
        <w:rPr>
          <w:rFonts w:ascii="Times New Roman" w:hAnsi="Times New Roman" w:cs="Times New Roman"/>
          <w:sz w:val="26"/>
          <w:szCs w:val="26"/>
        </w:rPr>
        <w:t>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сырья», подготовленный Правительством Российской Федерации;</w:t>
      </w:r>
    </w:p>
    <w:p w:rsidR="00A77213" w:rsidRPr="00A77213" w:rsidRDefault="00A77213" w:rsidP="00A772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77213">
        <w:rPr>
          <w:rFonts w:ascii="Times New Roman" w:hAnsi="Times New Roman" w:cs="Times New Roman"/>
          <w:sz w:val="26"/>
          <w:szCs w:val="26"/>
        </w:rPr>
        <w:t xml:space="preserve">одготовлен проект распоряжения Администрации Ненецкого автономного округа о назначении членов консультативных подкомитетов Объединенного комитета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СРП (в связи с произошедшими в Администрации Ненецкого автономного округа кадровыми и организационными изменениями, а также в связи с принятым решением предлагается исключить Андриянова С.А. из членов Подкомитетов Объединенного комитета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Харьягинского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СРП и назначить </w:t>
      </w:r>
      <w:r w:rsidRPr="00A77213">
        <w:rPr>
          <w:rFonts w:ascii="Times New Roman" w:hAnsi="Times New Roman" w:cs="Times New Roman"/>
          <w:color w:val="000000"/>
          <w:sz w:val="26"/>
          <w:szCs w:val="26"/>
        </w:rPr>
        <w:t xml:space="preserve">членом Подкомитетов Объединенного комитета </w:t>
      </w:r>
      <w:proofErr w:type="spellStart"/>
      <w:r w:rsidRPr="00A77213">
        <w:rPr>
          <w:rFonts w:ascii="Times New Roman" w:hAnsi="Times New Roman" w:cs="Times New Roman"/>
          <w:color w:val="000000"/>
          <w:sz w:val="26"/>
          <w:szCs w:val="26"/>
        </w:rPr>
        <w:t>Харьягинского</w:t>
      </w:r>
      <w:proofErr w:type="spellEnd"/>
      <w:r w:rsidRPr="00A77213">
        <w:rPr>
          <w:rFonts w:ascii="Times New Roman" w:hAnsi="Times New Roman" w:cs="Times New Roman"/>
          <w:color w:val="000000"/>
          <w:sz w:val="26"/>
          <w:szCs w:val="26"/>
        </w:rPr>
        <w:t xml:space="preserve"> СРП</w:t>
      </w:r>
      <w:r w:rsidRPr="00A77213">
        <w:rPr>
          <w:rFonts w:ascii="Times New Roman" w:hAnsi="Times New Roman" w:cs="Times New Roman"/>
          <w:sz w:val="26"/>
          <w:szCs w:val="26"/>
        </w:rPr>
        <w:t xml:space="preserve"> руководителя Департамента природных ресурсов, экологии и агропромышленного комплекса Ненецкого автономного округа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Чабдарова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А.М.)</w:t>
      </w:r>
    </w:p>
    <w:p w:rsidR="00A77213" w:rsidRPr="00A77213" w:rsidRDefault="00A77213" w:rsidP="00A772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77213">
        <w:rPr>
          <w:rFonts w:ascii="Times New Roman" w:hAnsi="Times New Roman" w:cs="Times New Roman"/>
          <w:sz w:val="26"/>
          <w:szCs w:val="26"/>
        </w:rPr>
        <w:t>о исполнение совместного поручения Заместителя Председателя Правительства Российской Федерации Козака Д.Н. от 9 июля 2019 года № ДК-П13-5850 Министерству энергетики РФ и губернатору НАО и в связи с письмом Аппарата Правительства Российской Федерации от 4 сентября 2019 года № П-13-49510 рассмотрены материалы и предложения о реструктуризации задолженности</w:t>
      </w:r>
      <w:r w:rsidR="00773048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A77213">
        <w:rPr>
          <w:rFonts w:ascii="Times New Roman" w:hAnsi="Times New Roman" w:cs="Times New Roman"/>
          <w:sz w:val="26"/>
          <w:szCs w:val="26"/>
        </w:rPr>
        <w:t>, позиция губернатора направлена в адрес министерства.</w:t>
      </w:r>
    </w:p>
    <w:p w:rsidR="00A77213" w:rsidRPr="00A77213" w:rsidRDefault="00A77213" w:rsidP="00A77213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77213" w:rsidRDefault="00A77213" w:rsidP="00A772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A77213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Сектор нормирования</w:t>
      </w:r>
    </w:p>
    <w:p w:rsidR="00A77213" w:rsidRPr="00A77213" w:rsidRDefault="00A77213" w:rsidP="00A772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</w:p>
    <w:p w:rsidR="00A77213" w:rsidRPr="00A77213" w:rsidRDefault="00A77213" w:rsidP="00A7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77213">
        <w:rPr>
          <w:rFonts w:ascii="Times New Roman" w:hAnsi="Times New Roman" w:cs="Times New Roman"/>
          <w:sz w:val="26"/>
          <w:szCs w:val="26"/>
        </w:rPr>
        <w:t xml:space="preserve"> Организация проверки в рамках лицензионного контроля за обращением лома черных и цветных металлов. 14.10.2019 планируется вылет в п.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для проведения проверки.</w:t>
      </w:r>
    </w:p>
    <w:p w:rsidR="00A77213" w:rsidRPr="00A77213" w:rsidRDefault="00A77213" w:rsidP="00A7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lastRenderedPageBreak/>
        <w:t>2. По итогам участия в проверке Прокуратуры округа по вопросам использования и охраны водных объектов выявлены</w:t>
      </w:r>
      <w:r w:rsidR="00773048">
        <w:rPr>
          <w:rFonts w:ascii="Times New Roman" w:hAnsi="Times New Roman" w:cs="Times New Roman"/>
          <w:sz w:val="26"/>
          <w:szCs w:val="26"/>
        </w:rPr>
        <w:t xml:space="preserve"> нарушения.</w:t>
      </w:r>
    </w:p>
    <w:p w:rsidR="00A77213" w:rsidRPr="00A77213" w:rsidRDefault="00A77213" w:rsidP="00A7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3. Подготовка визуальных материалов по региональным проектам для составления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медиаплана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прессслужбой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>.</w:t>
      </w:r>
    </w:p>
    <w:p w:rsidR="00A77213" w:rsidRPr="00A77213" w:rsidRDefault="00A77213" w:rsidP="00A7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4. Рассмотрен отчет по государственному контракту от 10.04.2019 № Ф.2019.159049 на выполнение работ «Разработка проектной документации по ликвидации накопленного вреда на территории п.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Амдерма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округа». По итогам рассмотрения выявлены замечания, Подрядчику направлен мотивированный отказ от приёмки выполненной работы и установлен срок для устранения замечаний до 11.11.2019.</w:t>
      </w:r>
    </w:p>
    <w:p w:rsidR="00752F8F" w:rsidRPr="00E145B9" w:rsidRDefault="00752F8F" w:rsidP="00752F8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00B18" w:rsidRPr="00BF1E8C" w:rsidRDefault="00607FDA" w:rsidP="008729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E8C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2031B5" w:rsidRPr="00BF1E8C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8C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Проверка субсидий.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Принято участие в заседании аукционной комиссии в аукционе на заключение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охотхозяйственных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соглашений. 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Подготовлено письмо в АО «НАК» внести изменения в Положение о закупках.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Направлены в Департамент внутренней политики НАО предложения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недропользователей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 xml:space="preserve"> на проект Правительства РФ «Об утверждении порядка возмещения убытков, причиненных КМНС РФ».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Подготовлен проект распоряжения Департамента ПР и АПК НАО «О письменной директиве (указании) представителям интересов Ненецкого автономного округа для голосования на заседании Совета директоров АО «ННК». 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Направлен в УИЗО НАО ответ по контролю за деятельностью представителей НАО в Советах директоров АО. 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Рассмотрен проект приказа Минприроды России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сервитута». Ответ направлен в ДФЭ НАО. 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Согласование проекта закона Ненецкого автономного округа «О государственной поддержке в сфере развития сельского хозяйства в Ненецком автономном округе».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Анализ порядков предоставления субсидий на соответствие постановлению Правительства РФ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Подготовка ответа на запрос ДФЭ НАО по экспертизе НПА постановления Администрации НАО от 30.05.2014 № 186-п (ждем информацию от УАПК).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>Подготовка ответа на запрос Департамента цифрового развития, связи и массовых коммуникаций НАО о предоставлении информации об использовании геоинформационных систем и услугах</w:t>
      </w:r>
      <w:bookmarkStart w:id="0" w:name="_GoBack"/>
      <w:bookmarkEnd w:id="0"/>
      <w:r w:rsidRPr="00A77213">
        <w:rPr>
          <w:rFonts w:ascii="Times New Roman" w:hAnsi="Times New Roman" w:cs="Times New Roman"/>
          <w:sz w:val="26"/>
          <w:szCs w:val="26"/>
        </w:rPr>
        <w:t>.</w:t>
      </w:r>
    </w:p>
    <w:p w:rsidR="00A77213" w:rsidRPr="00A77213" w:rsidRDefault="00A77213" w:rsidP="00A772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213">
        <w:rPr>
          <w:rFonts w:ascii="Times New Roman" w:hAnsi="Times New Roman" w:cs="Times New Roman"/>
          <w:sz w:val="26"/>
          <w:szCs w:val="26"/>
        </w:rPr>
        <w:t xml:space="preserve">Подготовлен и направлен в ПСП Арбитражного суда Архангельской области в г. Нарьян-Маре отзыв на заявление о признании незаконным и отмене </w:t>
      </w:r>
      <w:r w:rsidRPr="00A77213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от 09.04.2019 №07-22/УПР-017/2019 о назначении административного наказания </w:t>
      </w:r>
      <w:proofErr w:type="spellStart"/>
      <w:r w:rsidRPr="00A77213">
        <w:rPr>
          <w:rFonts w:ascii="Times New Roman" w:hAnsi="Times New Roman" w:cs="Times New Roman"/>
          <w:sz w:val="26"/>
          <w:szCs w:val="26"/>
        </w:rPr>
        <w:t>недропользователю</w:t>
      </w:r>
      <w:proofErr w:type="spellEnd"/>
      <w:r w:rsidRPr="00A77213">
        <w:rPr>
          <w:rFonts w:ascii="Times New Roman" w:hAnsi="Times New Roman" w:cs="Times New Roman"/>
          <w:sz w:val="26"/>
          <w:szCs w:val="26"/>
        </w:rPr>
        <w:t>.</w:t>
      </w:r>
    </w:p>
    <w:p w:rsidR="00A77213" w:rsidRDefault="00A77213" w:rsidP="002031B5">
      <w:pPr>
        <w:spacing w:after="0" w:line="240" w:lineRule="auto"/>
        <w:jc w:val="center"/>
        <w:rPr>
          <w:sz w:val="26"/>
          <w:szCs w:val="26"/>
        </w:rPr>
      </w:pPr>
    </w:p>
    <w:p w:rsidR="0093764B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23A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57423A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Подготовка проекта бюджета на 2020 и плановый период 2021-2022 годов.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еженедельно, постановка на учет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Разработка примерных расчетов финансовых средств, необходимых для обеспечения работников в сфере охотничьего хозяйства форменной одеждой.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Подготовка информации к проекту Федерального бюджета по запросу Минприроды России в части объемов поступлений доходов.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оплаты, а также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отпускных, выдача аванса). </w:t>
      </w:r>
    </w:p>
    <w:p w:rsidR="00D150BD" w:rsidRPr="0057423A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Составление табеля рабочего времени.</w:t>
      </w:r>
    </w:p>
    <w:p w:rsidR="00AC454F" w:rsidRPr="006F7202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202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 xml:space="preserve">1. </w:t>
      </w:r>
      <w:r w:rsidRPr="00BF1E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проектной документации наградных листов на пенсионеров, работа по направлению необходимых документов.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2. Ежедневное направление документов в Управление государственной гражданской службы и кадров.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3. Ознакомление сотрудников с кадровыми документами.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color w:val="000000"/>
          <w:sz w:val="26"/>
          <w:szCs w:val="26"/>
          <w:lang w:eastAsia="ru-RU" w:bidi="ru-RU"/>
        </w:rPr>
        <w:t xml:space="preserve">4. </w:t>
      </w:r>
      <w:r w:rsidRPr="00BF1E8C">
        <w:rPr>
          <w:sz w:val="26"/>
          <w:szCs w:val="26"/>
        </w:rPr>
        <w:t>Рассмотрение поступивших наградных материалов из организаций, расположенных на территории НАО.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BF1E8C" w:rsidRPr="00BF1E8C">
        <w:rPr>
          <w:sz w:val="26"/>
          <w:szCs w:val="26"/>
        </w:rPr>
        <w:t>. Работа с личными обращениями граждан.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BF1E8C" w:rsidRPr="00BF1E8C">
        <w:rPr>
          <w:sz w:val="26"/>
          <w:szCs w:val="26"/>
        </w:rPr>
        <w:t>. Подготовка ответов на поступающие запросы.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F1E8C" w:rsidRPr="00BF1E8C">
        <w:rPr>
          <w:sz w:val="26"/>
          <w:szCs w:val="26"/>
        </w:rPr>
        <w:t>. Регистрация входящей и исходящей корреспонденции.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BF1E8C" w:rsidRPr="00BF1E8C">
        <w:rPr>
          <w:sz w:val="26"/>
          <w:szCs w:val="26"/>
        </w:rPr>
        <w:t>. Ответы на телефонные звонки.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F1E8C" w:rsidRPr="00BF1E8C">
        <w:rPr>
          <w:sz w:val="26"/>
          <w:szCs w:val="26"/>
        </w:rPr>
        <w:t xml:space="preserve">. Отправка корреспонденции по адресам электронной почты. 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0</w:t>
      </w:r>
      <w:r w:rsidRPr="00BF1E8C">
        <w:rPr>
          <w:sz w:val="26"/>
          <w:szCs w:val="26"/>
        </w:rPr>
        <w:t>. Подготовка и направление простой и заказной корреспонденции на Почту России.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</w:t>
      </w:r>
      <w:r w:rsidR="00BF1E8C" w:rsidRPr="00BF1E8C">
        <w:rPr>
          <w:sz w:val="26"/>
          <w:szCs w:val="26"/>
        </w:rPr>
        <w:t>. Развоз документов по городу и п. Искателей.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="00BF1E8C" w:rsidRPr="00BF1E8C">
        <w:rPr>
          <w:sz w:val="26"/>
          <w:szCs w:val="26"/>
        </w:rPr>
        <w:t>. Подготовка копий документов.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3</w:t>
      </w:r>
      <w:r w:rsidRPr="00BF1E8C">
        <w:rPr>
          <w:sz w:val="26"/>
          <w:szCs w:val="26"/>
        </w:rPr>
        <w:t>. Выдача канцелярских принадлежностей работникам Департамента.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</w:t>
      </w:r>
      <w:r w:rsidR="00BF1E8C" w:rsidRPr="00BF1E8C">
        <w:rPr>
          <w:sz w:val="26"/>
          <w:szCs w:val="26"/>
        </w:rPr>
        <w:t>. Направление писем и запросов.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BF1E8C" w:rsidRPr="00BF1E8C">
        <w:rPr>
          <w:sz w:val="26"/>
          <w:szCs w:val="26"/>
        </w:rPr>
        <w:t>. Контроль документов.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</w:t>
      </w:r>
      <w:r w:rsidR="00BF1E8C" w:rsidRPr="00BF1E8C">
        <w:rPr>
          <w:sz w:val="26"/>
          <w:szCs w:val="26"/>
        </w:rPr>
        <w:t>. Выполнение иных поручений руководства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</w:t>
      </w:r>
      <w:r w:rsidR="00BF1E8C" w:rsidRPr="00BF1E8C">
        <w:rPr>
          <w:sz w:val="26"/>
          <w:szCs w:val="26"/>
        </w:rPr>
        <w:t>. Регистрация распоряжений.</w:t>
      </w:r>
    </w:p>
    <w:p w:rsid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="00BF1E8C" w:rsidRPr="00BF1E8C">
        <w:rPr>
          <w:sz w:val="26"/>
          <w:szCs w:val="26"/>
        </w:rPr>
        <w:t>. Регистрация приказ</w:t>
      </w:r>
      <w:r w:rsidR="006D06ED">
        <w:rPr>
          <w:sz w:val="26"/>
          <w:szCs w:val="26"/>
        </w:rPr>
        <w:t>ов</w:t>
      </w:r>
      <w:r w:rsidR="00BF1E8C" w:rsidRPr="00BF1E8C">
        <w:rPr>
          <w:sz w:val="26"/>
          <w:szCs w:val="26"/>
        </w:rPr>
        <w:t xml:space="preserve">. Направление Сущенко </w:t>
      </w:r>
      <w:proofErr w:type="gramStart"/>
      <w:r w:rsidR="00BF1E8C" w:rsidRPr="00BF1E8C">
        <w:rPr>
          <w:sz w:val="26"/>
          <w:szCs w:val="26"/>
        </w:rPr>
        <w:t>Н,В.</w:t>
      </w:r>
      <w:proofErr w:type="gramEnd"/>
      <w:r w:rsidR="00BF1E8C" w:rsidRPr="00BF1E8C">
        <w:rPr>
          <w:sz w:val="26"/>
          <w:szCs w:val="26"/>
        </w:rPr>
        <w:t xml:space="preserve"> на опубликование.</w:t>
      </w:r>
    </w:p>
    <w:p w:rsidR="00D34759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</w:p>
    <w:p w:rsidR="00D34759" w:rsidRPr="00D34759" w:rsidRDefault="00D34759" w:rsidP="00D347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4759">
        <w:rPr>
          <w:rFonts w:ascii="Times New Roman" w:hAnsi="Times New Roman" w:cs="Times New Roman"/>
          <w:b/>
          <w:sz w:val="26"/>
          <w:szCs w:val="26"/>
          <w:u w:val="single"/>
        </w:rPr>
        <w:t xml:space="preserve">ГТН 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  <w:gridCol w:w="2410"/>
        <w:gridCol w:w="1418"/>
      </w:tblGrid>
      <w:tr w:rsidR="00D34759" w:rsidRPr="0057423A" w:rsidTr="00E93838">
        <w:tc>
          <w:tcPr>
            <w:tcW w:w="9498" w:type="dxa"/>
            <w:gridSpan w:val="6"/>
          </w:tcPr>
          <w:p w:rsidR="001279C4" w:rsidRDefault="001279C4" w:rsidP="0012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D34759" w:rsidRPr="0057423A" w:rsidRDefault="001279C4" w:rsidP="00127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период с 30.09.2019 по 04.10.2019  </w:t>
            </w:r>
            <w:r w:rsidR="00E145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34759" w:rsidRPr="00CA5538" w:rsidTr="00A77213">
        <w:trPr>
          <w:trHeight w:val="259"/>
        </w:trPr>
        <w:tc>
          <w:tcPr>
            <w:tcW w:w="1560" w:type="dxa"/>
          </w:tcPr>
          <w:p w:rsidR="00D34759" w:rsidRPr="00CA5538" w:rsidRDefault="00D34759" w:rsidP="00E938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4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6</w:t>
            </w:r>
          </w:p>
        </w:tc>
      </w:tr>
      <w:tr w:rsidR="00D34759" w:rsidRPr="00CA5538" w:rsidTr="00A77213">
        <w:tc>
          <w:tcPr>
            <w:tcW w:w="1560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410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418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План</w:t>
            </w:r>
          </w:p>
        </w:tc>
      </w:tr>
      <w:tr w:rsidR="00A77213" w:rsidRPr="00E65FE7" w:rsidTr="00A77213">
        <w:tc>
          <w:tcPr>
            <w:tcW w:w="1560" w:type="dxa"/>
          </w:tcPr>
          <w:p w:rsidR="00A77213" w:rsidRPr="00A77213" w:rsidRDefault="00A77213" w:rsidP="00A772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2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77213" w:rsidRPr="00A77213" w:rsidRDefault="00A77213" w:rsidP="00A77213">
            <w:pPr>
              <w:jc w:val="center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>2</w:t>
            </w:r>
          </w:p>
          <w:p w:rsidR="00A77213" w:rsidRPr="00A77213" w:rsidRDefault="00A77213" w:rsidP="00A77213">
            <w:pPr>
              <w:jc w:val="center"/>
              <w:rPr>
                <w:rFonts w:ascii="Times New Roman" w:hAnsi="Times New Roman" w:cs="Times New Roman"/>
              </w:rPr>
            </w:pPr>
          </w:p>
          <w:p w:rsidR="00A77213" w:rsidRPr="00A77213" w:rsidRDefault="00A77213" w:rsidP="00A772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77213" w:rsidRPr="00A77213" w:rsidRDefault="00A77213" w:rsidP="00A772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7213" w:rsidRPr="00A77213" w:rsidRDefault="00A77213" w:rsidP="00A77213">
            <w:pPr>
              <w:jc w:val="center"/>
              <w:rPr>
                <w:highlight w:val="yellow"/>
              </w:rPr>
            </w:pPr>
            <w:r w:rsidRPr="00A77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77213" w:rsidRPr="00A77213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>1. ответы на запросы по самоходной технике – 5</w:t>
            </w:r>
          </w:p>
          <w:p w:rsidR="00A77213" w:rsidRPr="00A77213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 xml:space="preserve">2. внесение в базу </w:t>
            </w:r>
            <w:proofErr w:type="spellStart"/>
            <w:r w:rsidRPr="00A77213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A77213">
              <w:rPr>
                <w:rFonts w:ascii="Times New Roman" w:hAnsi="Times New Roman" w:cs="Times New Roman"/>
              </w:rPr>
              <w:t xml:space="preserve"> информации о лишении граждан права управления ТС – 4</w:t>
            </w:r>
          </w:p>
          <w:p w:rsidR="00A77213" w:rsidRPr="00A77213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 xml:space="preserve">3. подготовка и размещение отчетов об оказании </w:t>
            </w:r>
            <w:proofErr w:type="spellStart"/>
            <w:r w:rsidRPr="00A7721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772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7213">
              <w:rPr>
                <w:rFonts w:ascii="Times New Roman" w:hAnsi="Times New Roman" w:cs="Times New Roman"/>
              </w:rPr>
              <w:t>в ГАС-Управление</w:t>
            </w:r>
            <w:proofErr w:type="gramEnd"/>
            <w:r w:rsidRPr="00A77213">
              <w:rPr>
                <w:rFonts w:ascii="Times New Roman" w:hAnsi="Times New Roman" w:cs="Times New Roman"/>
              </w:rPr>
              <w:t xml:space="preserve"> за 3 кв. 2019 г.</w:t>
            </w:r>
          </w:p>
          <w:p w:rsidR="00A77213" w:rsidRPr="00A77213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 xml:space="preserve">4. утверждение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</w:t>
            </w:r>
          </w:p>
          <w:p w:rsidR="00A77213" w:rsidRPr="00A77213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7213" w:rsidRPr="00E65FE7" w:rsidRDefault="00A77213" w:rsidP="00A77213">
            <w:pPr>
              <w:jc w:val="both"/>
              <w:rPr>
                <w:rFonts w:ascii="Times New Roman" w:hAnsi="Times New Roman" w:cs="Times New Roman"/>
              </w:rPr>
            </w:pPr>
            <w:r w:rsidRPr="00A77213">
              <w:rPr>
                <w:rFonts w:ascii="Times New Roman" w:hAnsi="Times New Roman" w:cs="Times New Roman"/>
              </w:rPr>
              <w:t xml:space="preserve">командировка в </w:t>
            </w:r>
            <w:proofErr w:type="spellStart"/>
            <w:r w:rsidRPr="00A77213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77213">
              <w:rPr>
                <w:rFonts w:ascii="Times New Roman" w:hAnsi="Times New Roman" w:cs="Times New Roman"/>
              </w:rPr>
              <w:t xml:space="preserve"> для прохождения 2-го модуля программы «Руководитель цифровой трансформации»</w:t>
            </w:r>
          </w:p>
        </w:tc>
      </w:tr>
    </w:tbl>
    <w:p w:rsidR="00E65FE7" w:rsidRPr="00F74335" w:rsidRDefault="00E65FE7" w:rsidP="00F74335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65FE7" w:rsidRPr="00F74335" w:rsidSect="006A097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AF" w:rsidRDefault="00067EAF" w:rsidP="003C5D27">
      <w:pPr>
        <w:spacing w:after="0" w:line="240" w:lineRule="auto"/>
      </w:pPr>
      <w:r>
        <w:separator/>
      </w:r>
    </w:p>
  </w:endnote>
  <w:endnote w:type="continuationSeparator" w:id="0">
    <w:p w:rsidR="00067EAF" w:rsidRDefault="00067EAF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AF" w:rsidRDefault="00067EAF" w:rsidP="003C5D27">
      <w:pPr>
        <w:spacing w:after="0" w:line="240" w:lineRule="auto"/>
      </w:pPr>
      <w:r>
        <w:separator/>
      </w:r>
    </w:p>
  </w:footnote>
  <w:footnote w:type="continuationSeparator" w:id="0">
    <w:p w:rsidR="00067EAF" w:rsidRDefault="00067EAF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48">
          <w:rPr>
            <w:noProof/>
          </w:rPr>
          <w:t>7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3F3"/>
    <w:multiLevelType w:val="hybridMultilevel"/>
    <w:tmpl w:val="190AEADA"/>
    <w:lvl w:ilvl="0" w:tplc="4B8CC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C73"/>
    <w:multiLevelType w:val="hybridMultilevel"/>
    <w:tmpl w:val="FEC2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0FC"/>
    <w:multiLevelType w:val="hybridMultilevel"/>
    <w:tmpl w:val="7B0AA2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02C"/>
    <w:multiLevelType w:val="hybridMultilevel"/>
    <w:tmpl w:val="60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562"/>
    <w:multiLevelType w:val="hybridMultilevel"/>
    <w:tmpl w:val="C0AE5D2C"/>
    <w:lvl w:ilvl="0" w:tplc="98B26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955E2"/>
    <w:multiLevelType w:val="hybridMultilevel"/>
    <w:tmpl w:val="D3FE2F64"/>
    <w:lvl w:ilvl="0" w:tplc="0244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E5546B"/>
    <w:multiLevelType w:val="hybridMultilevel"/>
    <w:tmpl w:val="27EAA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497D"/>
    <w:multiLevelType w:val="hybridMultilevel"/>
    <w:tmpl w:val="2DD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6494"/>
    <w:multiLevelType w:val="hybridMultilevel"/>
    <w:tmpl w:val="794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0355"/>
    <w:multiLevelType w:val="hybridMultilevel"/>
    <w:tmpl w:val="9F2E1F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3070AC"/>
    <w:multiLevelType w:val="hybridMultilevel"/>
    <w:tmpl w:val="76F07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815010"/>
    <w:multiLevelType w:val="hybridMultilevel"/>
    <w:tmpl w:val="1DCA31DC"/>
    <w:lvl w:ilvl="0" w:tplc="2BA6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A3445"/>
    <w:multiLevelType w:val="hybridMultilevel"/>
    <w:tmpl w:val="95BCB6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7E2"/>
    <w:multiLevelType w:val="hybridMultilevel"/>
    <w:tmpl w:val="E89C65CE"/>
    <w:lvl w:ilvl="0" w:tplc="CE74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D75AE0"/>
    <w:multiLevelType w:val="hybridMultilevel"/>
    <w:tmpl w:val="3D460562"/>
    <w:lvl w:ilvl="0" w:tplc="4F6C5F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37492"/>
    <w:multiLevelType w:val="hybridMultilevel"/>
    <w:tmpl w:val="F516CF58"/>
    <w:lvl w:ilvl="0" w:tplc="B686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A36BF"/>
    <w:multiLevelType w:val="hybridMultilevel"/>
    <w:tmpl w:val="542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B71C26"/>
    <w:multiLevelType w:val="hybridMultilevel"/>
    <w:tmpl w:val="0B36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32B81"/>
    <w:multiLevelType w:val="hybridMultilevel"/>
    <w:tmpl w:val="E6A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20939"/>
    <w:multiLevelType w:val="hybridMultilevel"/>
    <w:tmpl w:val="6CD2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3997"/>
    <w:multiLevelType w:val="hybridMultilevel"/>
    <w:tmpl w:val="0A5E3090"/>
    <w:lvl w:ilvl="0" w:tplc="6B9CAFE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085E6F"/>
    <w:multiLevelType w:val="hybridMultilevel"/>
    <w:tmpl w:val="D044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7F61"/>
    <w:multiLevelType w:val="hybridMultilevel"/>
    <w:tmpl w:val="9C0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17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  <w:num w:numId="22">
    <w:abstractNumId w:val="20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00F78"/>
    <w:rsid w:val="00001E31"/>
    <w:rsid w:val="00010CC2"/>
    <w:rsid w:val="0001716B"/>
    <w:rsid w:val="000206D1"/>
    <w:rsid w:val="00023CAB"/>
    <w:rsid w:val="00025122"/>
    <w:rsid w:val="0002659E"/>
    <w:rsid w:val="00042BED"/>
    <w:rsid w:val="000513DD"/>
    <w:rsid w:val="00062539"/>
    <w:rsid w:val="0006709B"/>
    <w:rsid w:val="00067EAF"/>
    <w:rsid w:val="000748CD"/>
    <w:rsid w:val="00083AC8"/>
    <w:rsid w:val="0008427F"/>
    <w:rsid w:val="00085FB2"/>
    <w:rsid w:val="00093AAD"/>
    <w:rsid w:val="000B1B33"/>
    <w:rsid w:val="000B20E2"/>
    <w:rsid w:val="000B2F23"/>
    <w:rsid w:val="000B642D"/>
    <w:rsid w:val="000C21D6"/>
    <w:rsid w:val="000C51F6"/>
    <w:rsid w:val="000D47C6"/>
    <w:rsid w:val="000E39AD"/>
    <w:rsid w:val="000E6978"/>
    <w:rsid w:val="000F7302"/>
    <w:rsid w:val="001021E8"/>
    <w:rsid w:val="0010236E"/>
    <w:rsid w:val="001077B9"/>
    <w:rsid w:val="001116AF"/>
    <w:rsid w:val="0011206A"/>
    <w:rsid w:val="001279C4"/>
    <w:rsid w:val="001313AE"/>
    <w:rsid w:val="001357AE"/>
    <w:rsid w:val="00135C1C"/>
    <w:rsid w:val="00146692"/>
    <w:rsid w:val="00151A3C"/>
    <w:rsid w:val="00156321"/>
    <w:rsid w:val="00157624"/>
    <w:rsid w:val="00162095"/>
    <w:rsid w:val="00163525"/>
    <w:rsid w:val="00175558"/>
    <w:rsid w:val="00176A74"/>
    <w:rsid w:val="00177338"/>
    <w:rsid w:val="0018473F"/>
    <w:rsid w:val="001A1C0D"/>
    <w:rsid w:val="001A1F85"/>
    <w:rsid w:val="001A6D25"/>
    <w:rsid w:val="001B0B40"/>
    <w:rsid w:val="001B7FF7"/>
    <w:rsid w:val="001C3091"/>
    <w:rsid w:val="001C3C57"/>
    <w:rsid w:val="001D1861"/>
    <w:rsid w:val="001D19F3"/>
    <w:rsid w:val="001D27B9"/>
    <w:rsid w:val="001E7CC9"/>
    <w:rsid w:val="001F3EF6"/>
    <w:rsid w:val="001F6D9D"/>
    <w:rsid w:val="001F7AA6"/>
    <w:rsid w:val="00201BD3"/>
    <w:rsid w:val="00201DA1"/>
    <w:rsid w:val="002031B5"/>
    <w:rsid w:val="00212CE7"/>
    <w:rsid w:val="00220163"/>
    <w:rsid w:val="00237DDA"/>
    <w:rsid w:val="00240B2D"/>
    <w:rsid w:val="00246C1D"/>
    <w:rsid w:val="002777C6"/>
    <w:rsid w:val="00282907"/>
    <w:rsid w:val="002829B2"/>
    <w:rsid w:val="0028481F"/>
    <w:rsid w:val="00286438"/>
    <w:rsid w:val="002A3179"/>
    <w:rsid w:val="002B5371"/>
    <w:rsid w:val="002B6312"/>
    <w:rsid w:val="002C18FF"/>
    <w:rsid w:val="002C29A8"/>
    <w:rsid w:val="002C47CA"/>
    <w:rsid w:val="002D2A30"/>
    <w:rsid w:val="002D331F"/>
    <w:rsid w:val="002D4D83"/>
    <w:rsid w:val="002E16E9"/>
    <w:rsid w:val="002F4C47"/>
    <w:rsid w:val="003057DD"/>
    <w:rsid w:val="0030649A"/>
    <w:rsid w:val="003175DF"/>
    <w:rsid w:val="0032224D"/>
    <w:rsid w:val="003265A8"/>
    <w:rsid w:val="00332391"/>
    <w:rsid w:val="003328EC"/>
    <w:rsid w:val="00333253"/>
    <w:rsid w:val="003411B0"/>
    <w:rsid w:val="00352A5E"/>
    <w:rsid w:val="003743A5"/>
    <w:rsid w:val="00374FFD"/>
    <w:rsid w:val="0038099D"/>
    <w:rsid w:val="00387EB7"/>
    <w:rsid w:val="00391969"/>
    <w:rsid w:val="003A34D8"/>
    <w:rsid w:val="003A54EB"/>
    <w:rsid w:val="003B53BE"/>
    <w:rsid w:val="003B5C3B"/>
    <w:rsid w:val="003B7B20"/>
    <w:rsid w:val="003C358E"/>
    <w:rsid w:val="003C4EC9"/>
    <w:rsid w:val="003C5D27"/>
    <w:rsid w:val="003C72AD"/>
    <w:rsid w:val="003C73DA"/>
    <w:rsid w:val="003C744B"/>
    <w:rsid w:val="003C7E0B"/>
    <w:rsid w:val="003D0B30"/>
    <w:rsid w:val="003E2826"/>
    <w:rsid w:val="003E49EC"/>
    <w:rsid w:val="003F02A0"/>
    <w:rsid w:val="003F3C6A"/>
    <w:rsid w:val="003F4E66"/>
    <w:rsid w:val="00400B18"/>
    <w:rsid w:val="004020EB"/>
    <w:rsid w:val="00410774"/>
    <w:rsid w:val="004111D1"/>
    <w:rsid w:val="00415E3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45E14"/>
    <w:rsid w:val="00456481"/>
    <w:rsid w:val="004579B5"/>
    <w:rsid w:val="00487BEF"/>
    <w:rsid w:val="004A0208"/>
    <w:rsid w:val="004A711A"/>
    <w:rsid w:val="004B06BE"/>
    <w:rsid w:val="004B4D07"/>
    <w:rsid w:val="004C320D"/>
    <w:rsid w:val="004D61FB"/>
    <w:rsid w:val="004F3992"/>
    <w:rsid w:val="00507754"/>
    <w:rsid w:val="00514E61"/>
    <w:rsid w:val="005161B6"/>
    <w:rsid w:val="0052145D"/>
    <w:rsid w:val="00522E03"/>
    <w:rsid w:val="005240C6"/>
    <w:rsid w:val="00525DBC"/>
    <w:rsid w:val="00542806"/>
    <w:rsid w:val="0055145B"/>
    <w:rsid w:val="00551878"/>
    <w:rsid w:val="005570C2"/>
    <w:rsid w:val="00573511"/>
    <w:rsid w:val="0057423A"/>
    <w:rsid w:val="005769E1"/>
    <w:rsid w:val="00580569"/>
    <w:rsid w:val="00580EB6"/>
    <w:rsid w:val="0058315C"/>
    <w:rsid w:val="00591FA6"/>
    <w:rsid w:val="0059216F"/>
    <w:rsid w:val="0059264E"/>
    <w:rsid w:val="005A32CC"/>
    <w:rsid w:val="005B1627"/>
    <w:rsid w:val="005B1640"/>
    <w:rsid w:val="005B3B61"/>
    <w:rsid w:val="005B4F4E"/>
    <w:rsid w:val="005C2E8C"/>
    <w:rsid w:val="005D5E8B"/>
    <w:rsid w:val="005E2A65"/>
    <w:rsid w:val="005E3326"/>
    <w:rsid w:val="005E56A3"/>
    <w:rsid w:val="005F6B87"/>
    <w:rsid w:val="00606554"/>
    <w:rsid w:val="00607FDA"/>
    <w:rsid w:val="006219D1"/>
    <w:rsid w:val="00632C82"/>
    <w:rsid w:val="00632F0E"/>
    <w:rsid w:val="006406D9"/>
    <w:rsid w:val="006424C9"/>
    <w:rsid w:val="00665939"/>
    <w:rsid w:val="00673DD0"/>
    <w:rsid w:val="00674364"/>
    <w:rsid w:val="00676447"/>
    <w:rsid w:val="006826EC"/>
    <w:rsid w:val="00683A53"/>
    <w:rsid w:val="006A0977"/>
    <w:rsid w:val="006A7D13"/>
    <w:rsid w:val="006C02E0"/>
    <w:rsid w:val="006C3079"/>
    <w:rsid w:val="006C705D"/>
    <w:rsid w:val="006D06ED"/>
    <w:rsid w:val="006E3339"/>
    <w:rsid w:val="006E650E"/>
    <w:rsid w:val="006F603C"/>
    <w:rsid w:val="006F7202"/>
    <w:rsid w:val="0074555E"/>
    <w:rsid w:val="00752F8F"/>
    <w:rsid w:val="00760AFD"/>
    <w:rsid w:val="00764B71"/>
    <w:rsid w:val="00772A43"/>
    <w:rsid w:val="00773048"/>
    <w:rsid w:val="007918AD"/>
    <w:rsid w:val="007B6B43"/>
    <w:rsid w:val="007B749D"/>
    <w:rsid w:val="007C5E09"/>
    <w:rsid w:val="007E2BF4"/>
    <w:rsid w:val="007E46F0"/>
    <w:rsid w:val="007E7841"/>
    <w:rsid w:val="007F7046"/>
    <w:rsid w:val="00806E13"/>
    <w:rsid w:val="00811228"/>
    <w:rsid w:val="00813856"/>
    <w:rsid w:val="008242BB"/>
    <w:rsid w:val="00833BC2"/>
    <w:rsid w:val="0084120A"/>
    <w:rsid w:val="00844B81"/>
    <w:rsid w:val="00851E23"/>
    <w:rsid w:val="00853030"/>
    <w:rsid w:val="00856463"/>
    <w:rsid w:val="00862A7E"/>
    <w:rsid w:val="00863586"/>
    <w:rsid w:val="00866E89"/>
    <w:rsid w:val="00872910"/>
    <w:rsid w:val="008876B6"/>
    <w:rsid w:val="008916C7"/>
    <w:rsid w:val="0089600D"/>
    <w:rsid w:val="008A1216"/>
    <w:rsid w:val="008A2D49"/>
    <w:rsid w:val="008A5771"/>
    <w:rsid w:val="008A6030"/>
    <w:rsid w:val="008D4F16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6A03"/>
    <w:rsid w:val="00937376"/>
    <w:rsid w:val="0093764B"/>
    <w:rsid w:val="00947C59"/>
    <w:rsid w:val="00950886"/>
    <w:rsid w:val="00950F04"/>
    <w:rsid w:val="0095378F"/>
    <w:rsid w:val="00954A05"/>
    <w:rsid w:val="00955F1F"/>
    <w:rsid w:val="00960098"/>
    <w:rsid w:val="00962520"/>
    <w:rsid w:val="00967C73"/>
    <w:rsid w:val="00973027"/>
    <w:rsid w:val="00974196"/>
    <w:rsid w:val="009806B3"/>
    <w:rsid w:val="009A0DCA"/>
    <w:rsid w:val="009A599B"/>
    <w:rsid w:val="009B577C"/>
    <w:rsid w:val="009B7AD1"/>
    <w:rsid w:val="009C0AA2"/>
    <w:rsid w:val="009D11F5"/>
    <w:rsid w:val="009D1332"/>
    <w:rsid w:val="009D7F7F"/>
    <w:rsid w:val="009E1F51"/>
    <w:rsid w:val="009E36F6"/>
    <w:rsid w:val="009E6C60"/>
    <w:rsid w:val="009F1CDC"/>
    <w:rsid w:val="009F20AF"/>
    <w:rsid w:val="009F74FD"/>
    <w:rsid w:val="00A04C7A"/>
    <w:rsid w:val="00A13CA6"/>
    <w:rsid w:val="00A252C2"/>
    <w:rsid w:val="00A316D6"/>
    <w:rsid w:val="00A364B2"/>
    <w:rsid w:val="00A45BF8"/>
    <w:rsid w:val="00A61249"/>
    <w:rsid w:val="00A77213"/>
    <w:rsid w:val="00A7779F"/>
    <w:rsid w:val="00A83896"/>
    <w:rsid w:val="00A8665E"/>
    <w:rsid w:val="00A925F2"/>
    <w:rsid w:val="00A92E3D"/>
    <w:rsid w:val="00A9366B"/>
    <w:rsid w:val="00AA03E5"/>
    <w:rsid w:val="00AA11F6"/>
    <w:rsid w:val="00AA2793"/>
    <w:rsid w:val="00AA291D"/>
    <w:rsid w:val="00AA582F"/>
    <w:rsid w:val="00AC454F"/>
    <w:rsid w:val="00AC65A5"/>
    <w:rsid w:val="00AD6DE7"/>
    <w:rsid w:val="00AF4BB8"/>
    <w:rsid w:val="00AF7E36"/>
    <w:rsid w:val="00B059CE"/>
    <w:rsid w:val="00B217D1"/>
    <w:rsid w:val="00B35A52"/>
    <w:rsid w:val="00B51BF0"/>
    <w:rsid w:val="00B56063"/>
    <w:rsid w:val="00B64556"/>
    <w:rsid w:val="00B7582B"/>
    <w:rsid w:val="00B958AB"/>
    <w:rsid w:val="00BA1147"/>
    <w:rsid w:val="00BB422A"/>
    <w:rsid w:val="00BC6413"/>
    <w:rsid w:val="00BD61DD"/>
    <w:rsid w:val="00BF1E8C"/>
    <w:rsid w:val="00BF679A"/>
    <w:rsid w:val="00BF6EC9"/>
    <w:rsid w:val="00C11A9E"/>
    <w:rsid w:val="00C14B28"/>
    <w:rsid w:val="00C15EAA"/>
    <w:rsid w:val="00C16F6A"/>
    <w:rsid w:val="00C178C2"/>
    <w:rsid w:val="00C21B43"/>
    <w:rsid w:val="00C25020"/>
    <w:rsid w:val="00C35091"/>
    <w:rsid w:val="00C3526F"/>
    <w:rsid w:val="00C6172F"/>
    <w:rsid w:val="00C72E67"/>
    <w:rsid w:val="00C85130"/>
    <w:rsid w:val="00C90A7E"/>
    <w:rsid w:val="00C9518F"/>
    <w:rsid w:val="00C96F6B"/>
    <w:rsid w:val="00CA3CC3"/>
    <w:rsid w:val="00CA5538"/>
    <w:rsid w:val="00CA7D44"/>
    <w:rsid w:val="00CC3474"/>
    <w:rsid w:val="00CC3959"/>
    <w:rsid w:val="00CC51B0"/>
    <w:rsid w:val="00CC558B"/>
    <w:rsid w:val="00CC69A4"/>
    <w:rsid w:val="00CD334B"/>
    <w:rsid w:val="00CD3AA7"/>
    <w:rsid w:val="00CD52C0"/>
    <w:rsid w:val="00CE67C9"/>
    <w:rsid w:val="00CE761B"/>
    <w:rsid w:val="00D0570B"/>
    <w:rsid w:val="00D150BD"/>
    <w:rsid w:val="00D17F52"/>
    <w:rsid w:val="00D20595"/>
    <w:rsid w:val="00D31DC8"/>
    <w:rsid w:val="00D34759"/>
    <w:rsid w:val="00D40051"/>
    <w:rsid w:val="00D43C8E"/>
    <w:rsid w:val="00D54EE6"/>
    <w:rsid w:val="00D57118"/>
    <w:rsid w:val="00D575DB"/>
    <w:rsid w:val="00D64CB3"/>
    <w:rsid w:val="00D750F3"/>
    <w:rsid w:val="00D754AD"/>
    <w:rsid w:val="00D85981"/>
    <w:rsid w:val="00D86EB5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D5D4B"/>
    <w:rsid w:val="00DE6F67"/>
    <w:rsid w:val="00DF5795"/>
    <w:rsid w:val="00DF6739"/>
    <w:rsid w:val="00E0211D"/>
    <w:rsid w:val="00E045C0"/>
    <w:rsid w:val="00E1179C"/>
    <w:rsid w:val="00E145B9"/>
    <w:rsid w:val="00E17BC4"/>
    <w:rsid w:val="00E22EE6"/>
    <w:rsid w:val="00E23BD1"/>
    <w:rsid w:val="00E24D7B"/>
    <w:rsid w:val="00E313AE"/>
    <w:rsid w:val="00E37835"/>
    <w:rsid w:val="00E41268"/>
    <w:rsid w:val="00E44E0E"/>
    <w:rsid w:val="00E5787D"/>
    <w:rsid w:val="00E64FE0"/>
    <w:rsid w:val="00E65FE7"/>
    <w:rsid w:val="00E67FE8"/>
    <w:rsid w:val="00E70BAD"/>
    <w:rsid w:val="00E82683"/>
    <w:rsid w:val="00E83DB5"/>
    <w:rsid w:val="00E87930"/>
    <w:rsid w:val="00E9511B"/>
    <w:rsid w:val="00EA3924"/>
    <w:rsid w:val="00EB38A8"/>
    <w:rsid w:val="00EC293A"/>
    <w:rsid w:val="00EC53BB"/>
    <w:rsid w:val="00ED0C33"/>
    <w:rsid w:val="00ED7284"/>
    <w:rsid w:val="00EE6293"/>
    <w:rsid w:val="00F000ED"/>
    <w:rsid w:val="00F11DC7"/>
    <w:rsid w:val="00F16D40"/>
    <w:rsid w:val="00F26085"/>
    <w:rsid w:val="00F2707B"/>
    <w:rsid w:val="00F36CCE"/>
    <w:rsid w:val="00F373F4"/>
    <w:rsid w:val="00F402DD"/>
    <w:rsid w:val="00F43BFE"/>
    <w:rsid w:val="00F44CF1"/>
    <w:rsid w:val="00F51D7E"/>
    <w:rsid w:val="00F542D5"/>
    <w:rsid w:val="00F56769"/>
    <w:rsid w:val="00F67020"/>
    <w:rsid w:val="00F74335"/>
    <w:rsid w:val="00F809C7"/>
    <w:rsid w:val="00F811BB"/>
    <w:rsid w:val="00F817BD"/>
    <w:rsid w:val="00F87907"/>
    <w:rsid w:val="00F97F30"/>
    <w:rsid w:val="00FA6632"/>
    <w:rsid w:val="00FB4ACF"/>
    <w:rsid w:val="00FC20BF"/>
    <w:rsid w:val="00FC59A2"/>
    <w:rsid w:val="00FC7019"/>
    <w:rsid w:val="00FD0E50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  <w:style w:type="paragraph" w:customStyle="1" w:styleId="xmsonormal">
    <w:name w:val="x_msonormal"/>
    <w:basedOn w:val="a"/>
    <w:rsid w:val="00C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74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752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2F8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3</cp:revision>
  <cp:lastPrinted>2018-10-26T09:17:00Z</cp:lastPrinted>
  <dcterms:created xsi:type="dcterms:W3CDTF">2019-10-14T11:41:00Z</dcterms:created>
  <dcterms:modified xsi:type="dcterms:W3CDTF">2019-10-14T11:48:00Z</dcterms:modified>
</cp:coreProperties>
</file>