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5000000">
      <w:pPr>
        <w:pStyle w:val="Style_2"/>
        <w:ind/>
        <w:outlineLvl w:val="0"/>
      </w:pPr>
      <w:bookmarkStart w:id="1" w:name="anchor0"/>
      <w:bookmarkEnd w:id="1"/>
      <w:r>
        <w:rPr>
          <w:color w:val="0000FF"/>
          <w:u w:val="single"/>
        </w:rPr>
        <w:fldChar w:fldCharType="begin"/>
      </w:r>
      <w:r>
        <w:rPr>
          <w:color w:val="0000FF"/>
          <w:u w:val="single"/>
        </w:rPr>
        <w:instrText>HYPERLINK "https://internet.garant.ru/document/redirect/411549247/0"</w:instrText>
      </w:r>
      <w:r>
        <w:rPr>
          <w:color w:val="0000FF"/>
          <w:u w:val="single"/>
        </w:rPr>
        <w:fldChar w:fldCharType="separate"/>
      </w:r>
      <w:r>
        <w:rPr>
          <w:color w:val="0000FF"/>
          <w:u w:val="single"/>
        </w:rPr>
        <w:t>Постановление Администрации Ненецкого автономного округа от 21 февраля 2025 г. N 28-п "Об утверждении Порядка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r>
        <w:rPr>
          <w:color w:val="0000FF"/>
          <w:u w:val="single"/>
        </w:rPr>
        <w:fldChar w:fldCharType="end"/>
      </w:r>
    </w:p>
    <w:p w14:paraId="16000000">
      <w:pPr>
        <w:pStyle w:val="Style_3"/>
      </w:pPr>
    </w:p>
    <w:p w14:paraId="17000000">
      <w:pPr>
        <w:pStyle w:val="Style_3"/>
      </w:pPr>
      <w:r>
        <w:t xml:space="preserve">В соответствии со </w:t>
      </w:r>
      <w:r>
        <w:rPr>
          <w:color w:val="0000FF"/>
          <w:u w:val="single"/>
        </w:rPr>
        <w:fldChar w:fldCharType="begin"/>
      </w:r>
      <w:r>
        <w:rPr>
          <w:color w:val="0000FF"/>
          <w:u w:val="single"/>
        </w:rPr>
        <w:instrText>HYPERLINK "https://internet.garant.ru/document/redirect/12112604/78"</w:instrText>
      </w:r>
      <w:r>
        <w:rPr>
          <w:color w:val="0000FF"/>
          <w:u w:val="single"/>
        </w:rPr>
        <w:fldChar w:fldCharType="separate"/>
      </w:r>
      <w:r>
        <w:rPr>
          <w:color w:val="0000FF"/>
          <w:u w:val="single"/>
        </w:rPr>
        <w:t>статьей 78</w:t>
      </w:r>
      <w:r>
        <w:rPr>
          <w:color w:val="0000FF"/>
          <w:u w:val="single"/>
        </w:rPr>
        <w:fldChar w:fldCharType="end"/>
      </w:r>
      <w:r>
        <w:t xml:space="preserve"> Бюджетного кодекса Российской Федерации, </w:t>
      </w:r>
      <w:r>
        <w:rPr>
          <w:color w:val="0000FF"/>
          <w:u w:val="single"/>
        </w:rPr>
        <w:fldChar w:fldCharType="begin"/>
      </w:r>
      <w:r>
        <w:rPr>
          <w:color w:val="0000FF"/>
          <w:u w:val="single"/>
        </w:rPr>
        <w:instrText>HYPERLINK "https://internet.garant.ru/document/redirect/407967939/0"</w:instrText>
      </w:r>
      <w:r>
        <w:rPr>
          <w:color w:val="0000FF"/>
          <w:u w:val="single"/>
        </w:rPr>
        <w:fldChar w:fldCharType="separate"/>
      </w:r>
      <w:r>
        <w:rPr>
          <w:color w:val="0000FF"/>
          <w:u w:val="single"/>
        </w:rPr>
        <w:t>постановлением</w:t>
      </w:r>
      <w:r>
        <w:rPr>
          <w:color w:val="0000FF"/>
          <w:u w:val="single"/>
        </w:rPr>
        <w:fldChar w:fldCharType="end"/>
      </w:r>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Администрация Ненецкого автономного округа постановляет:</w:t>
      </w:r>
    </w:p>
    <w:p w14:paraId="18000000">
      <w:pPr>
        <w:pStyle w:val="Style_3"/>
      </w:pPr>
      <w:bookmarkStart w:id="2" w:name="anchor1"/>
      <w:bookmarkEnd w:id="2"/>
      <w:r>
        <w:t xml:space="preserve">1. Утвердить Порядок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 согласно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Приложению</w:t>
      </w:r>
      <w:r>
        <w:rPr>
          <w:color w:val="0000FF"/>
          <w:u w:val="single"/>
        </w:rPr>
        <w:fldChar w:fldCharType="end"/>
      </w:r>
      <w:r>
        <w:t>.</w:t>
      </w:r>
    </w:p>
    <w:p w14:paraId="19000000">
      <w:pPr>
        <w:pStyle w:val="Style_3"/>
      </w:pPr>
      <w:bookmarkStart w:id="3" w:name="anchor2"/>
      <w:bookmarkEnd w:id="3"/>
      <w:r>
        <w:t xml:space="preserve">2. Настоящее постановление вступает в силу со дня его </w:t>
      </w:r>
      <w:r>
        <w:rPr>
          <w:color w:val="0000FF"/>
          <w:u w:val="single"/>
        </w:rPr>
        <w:fldChar w:fldCharType="begin"/>
      </w:r>
      <w:r>
        <w:rPr>
          <w:color w:val="0000FF"/>
          <w:u w:val="single"/>
        </w:rPr>
        <w:instrText>HYPERLINK "https://internet.garant.ru/document/redirect/411549248/0"</w:instrText>
      </w:r>
      <w:r>
        <w:rPr>
          <w:color w:val="0000FF"/>
          <w:u w:val="single"/>
        </w:rPr>
        <w:fldChar w:fldCharType="separate"/>
      </w:r>
      <w:r>
        <w:rPr>
          <w:color w:val="0000FF"/>
          <w:u w:val="single"/>
        </w:rPr>
        <w:t>официального опубликования</w:t>
      </w:r>
      <w:r>
        <w:rPr>
          <w:color w:val="0000FF"/>
          <w:u w:val="single"/>
        </w:rPr>
        <w:fldChar w:fldCharType="end"/>
      </w:r>
      <w:r>
        <w:t xml:space="preserve"> и распространяет свое действие на отношения, возникшие с 1 января 2025 года.</w:t>
      </w:r>
    </w:p>
    <w:p w14:paraId="1A000000">
      <w:pPr>
        <w:pStyle w:val="Style_3"/>
      </w:pPr>
    </w:p>
    <w:tbl>
      <w:tblPr>
        <w:tblW w:type="auto" w:w="0"/>
        <w:jc w:val="left"/>
        <w:tblLayout w:type="fixed"/>
      </w:tblPr>
      <w:tblGrid>
        <w:gridCol w:w="6803"/>
        <w:gridCol w:w="3402"/>
      </w:tblGrid>
      <w:tr>
        <w:tc>
          <w:tcPr>
            <w:tcW w:type="dxa" w:w="6803"/>
          </w:tcPr>
          <w:p w14:paraId="1B000000">
            <w:pPr>
              <w:pStyle w:val="Style_4"/>
              <w:ind w:firstLine="0"/>
            </w:pPr>
            <w:r>
              <w:t>Губернатор Ненецкого автономного округа</w:t>
            </w:r>
          </w:p>
        </w:tc>
        <w:tc>
          <w:tcPr>
            <w:tcW w:type="dxa" w:w="3402"/>
          </w:tcPr>
          <w:p w14:paraId="1C000000">
            <w:pPr>
              <w:pStyle w:val="Style_3"/>
              <w:ind w:firstLine="0"/>
              <w:jc w:val="right"/>
            </w:pPr>
            <w:r>
              <w:t>Ю.В. Бездудный</w:t>
            </w:r>
          </w:p>
        </w:tc>
      </w:tr>
    </w:tbl>
    <w:p w14:paraId="1D000000">
      <w:pPr>
        <w:pStyle w:val="Style_3"/>
      </w:pPr>
    </w:p>
    <w:p w14:paraId="1E000000">
      <w:bookmarkStart w:id="4" w:name="anchor10000"/>
      <w:bookmarkEnd w:id="4"/>
      <w:r>
        <w:t xml:space="preserve">Приложение к </w:t>
      </w:r>
      <w:r>
        <w:rPr>
          <w:color w:val="0000FF"/>
          <w:u w:val="single"/>
        </w:rPr>
        <w:fldChar w:fldCharType="begin"/>
      </w:r>
      <w:r>
        <w:rPr>
          <w:color w:val="0000FF"/>
          <w:u w:val="single"/>
        </w:rPr>
        <w:instrText>HYPERLINK \l "anchor0"</w:instrText>
      </w:r>
      <w:r>
        <w:rPr>
          <w:color w:val="0000FF"/>
          <w:u w:val="single"/>
        </w:rPr>
        <w:fldChar w:fldCharType="separate"/>
      </w:r>
      <w:r>
        <w:rPr>
          <w:color w:val="0000FF"/>
          <w:u w:val="single"/>
        </w:rPr>
        <w:t>постановлению</w:t>
      </w:r>
      <w:r>
        <w:rPr>
          <w:color w:val="0000FF"/>
          <w:u w:val="single"/>
        </w:rPr>
        <w:fldChar w:fldCharType="end"/>
      </w:r>
      <w:r>
        <w:t xml:space="preserve"> Администрации Ненецкого автономного округа от 21.02.2025 N 28-п "Об утверждении Порядка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1F000000">
      <w:pPr>
        <w:pStyle w:val="Style_2"/>
        <w:ind/>
        <w:outlineLvl w:val="0"/>
      </w:pPr>
      <w:r>
        <w:t>Порядок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20000000">
      <w:pPr>
        <w:pStyle w:val="Style_2"/>
        <w:ind/>
        <w:outlineLvl w:val="0"/>
      </w:pPr>
      <w:bookmarkStart w:id="5" w:name="anchor100"/>
      <w:bookmarkEnd w:id="5"/>
      <w:r>
        <w:t>Раздел I Общие положения</w:t>
      </w:r>
    </w:p>
    <w:p w14:paraId="21000000">
      <w:pPr>
        <w:pStyle w:val="Style_3"/>
      </w:pPr>
      <w:bookmarkStart w:id="6" w:name="anchor10001"/>
      <w:bookmarkEnd w:id="6"/>
      <w:r>
        <w:t xml:space="preserve">1. Настоящий Порядок определяет цели, условия и порядок предоставления из окружного бюджета субсидий на возмещение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 в рамках реализации </w:t>
      </w:r>
      <w:r>
        <w:rPr>
          <w:color w:val="0000FF"/>
          <w:u w:val="single"/>
        </w:rPr>
        <w:fldChar w:fldCharType="begin"/>
      </w:r>
      <w:r>
        <w:rPr>
          <w:color w:val="0000FF"/>
          <w:u w:val="single"/>
        </w:rPr>
        <w:instrText>HYPERLINK "https://internet.garant.ru/document/redirect/33502222/10000"</w:instrText>
      </w:r>
      <w:r>
        <w:rPr>
          <w:color w:val="0000FF"/>
          <w:u w:val="single"/>
        </w:rPr>
        <w:fldChar w:fldCharType="separate"/>
      </w:r>
      <w:r>
        <w:rPr>
          <w:color w:val="0000FF"/>
          <w:u w:val="single"/>
        </w:rPr>
        <w:t>государственной программы</w:t>
      </w:r>
      <w:r>
        <w:rPr>
          <w:color w:val="0000FF"/>
          <w:u w:val="single"/>
        </w:rPr>
        <w:fldChar w:fldCharType="end"/>
      </w:r>
      <w:r>
        <w:t xml:space="preserve"> Ненецкого автономного округа "Развитие сельского хозяйства и регулирование рынков сельскохозяйственной продукции, сырья и продовольствия в Ненецком автономном округе", утвержденной </w:t>
      </w:r>
      <w:r>
        <w:rPr>
          <w:color w:val="0000FF"/>
          <w:u w:val="single"/>
        </w:rPr>
        <w:fldChar w:fldCharType="begin"/>
      </w:r>
      <w:r>
        <w:rPr>
          <w:color w:val="0000FF"/>
          <w:u w:val="single"/>
        </w:rPr>
        <w:instrText>HYPERLINK "https://internet.garant.ru/document/redirect/33502222/0"</w:instrText>
      </w:r>
      <w:r>
        <w:rPr>
          <w:color w:val="0000FF"/>
          <w:u w:val="single"/>
        </w:rPr>
        <w:fldChar w:fldCharType="separate"/>
      </w:r>
      <w:r>
        <w:rPr>
          <w:color w:val="0000FF"/>
          <w:u w:val="single"/>
        </w:rPr>
        <w:t>постановлением</w:t>
      </w:r>
      <w:r>
        <w:rPr>
          <w:color w:val="0000FF"/>
          <w:u w:val="single"/>
        </w:rPr>
        <w:fldChar w:fldCharType="end"/>
      </w:r>
      <w:r>
        <w:t xml:space="preserve"> Администрации Ненецкого автономного округа от 22.10.2014 N 405-п (далее - субсидии), критерии отбора лиц, имеющих право на получение субсидий, порядок проведения отбора получателей субсидий, порядок возврата субсидий в случае нарушения условий, установленных при их предоставлении, положения о проверке главным распорядителем бюджетных средств, предоставляющим субсидии, и органом государственного финансового контроля соблюдения условий и порядка предоставления субсидий ее получателями.</w:t>
      </w:r>
    </w:p>
    <w:p w14:paraId="22000000">
      <w:pPr>
        <w:pStyle w:val="Style_3"/>
      </w:pPr>
      <w:bookmarkStart w:id="7" w:name="anchor100012"/>
      <w:bookmarkEnd w:id="7"/>
      <w:r>
        <w:t xml:space="preserve">Действие настоящего Порядка не распространяется на отношения, возникшие в рамках соглашений, заключенных в соответствии с постановлениями Администрации Ненецкого автономного округа </w:t>
      </w:r>
      <w:r>
        <w:rPr>
          <w:color w:val="0000FF"/>
          <w:u w:val="single"/>
        </w:rPr>
        <w:fldChar w:fldCharType="begin"/>
      </w:r>
      <w:r>
        <w:rPr>
          <w:color w:val="0000FF"/>
          <w:u w:val="single"/>
        </w:rPr>
        <w:instrText>HYPERLINK "https://internet.garant.ru/document/redirect/44008848/0"</w:instrText>
      </w:r>
      <w:r>
        <w:rPr>
          <w:color w:val="0000FF"/>
          <w:u w:val="single"/>
        </w:rPr>
        <w:fldChar w:fldCharType="separate"/>
      </w:r>
      <w:r>
        <w:rPr>
          <w:color w:val="0000FF"/>
          <w:u w:val="single"/>
        </w:rPr>
        <w:t>от 28.06.2017 N 215-п</w:t>
      </w:r>
      <w:r>
        <w:rPr>
          <w:color w:val="0000FF"/>
          <w:u w:val="single"/>
        </w:rPr>
        <w:fldChar w:fldCharType="end"/>
      </w:r>
      <w:r>
        <w:t xml:space="preserve"> "Об утверждении Порядка предоставления субсидий на частичное возмещение затрат по доставке для реализации населению продовольственных товаров в поселок Амдерма, сельские населенные пункты, расположенные на островах Колгуев и Вайгач" и </w:t>
      </w:r>
      <w:r>
        <w:rPr>
          <w:color w:val="0000FF"/>
          <w:u w:val="single"/>
        </w:rPr>
        <w:fldChar w:fldCharType="begin"/>
      </w:r>
      <w:r>
        <w:rPr>
          <w:color w:val="0000FF"/>
          <w:u w:val="single"/>
        </w:rPr>
        <w:instrText>HYPERLINK "https://internet.garant.ru/document/redirect/44014526/0"</w:instrText>
      </w:r>
      <w:r>
        <w:rPr>
          <w:color w:val="0000FF"/>
          <w:u w:val="single"/>
        </w:rPr>
        <w:fldChar w:fldCharType="separate"/>
      </w:r>
      <w:r>
        <w:rPr>
          <w:color w:val="0000FF"/>
          <w:u w:val="single"/>
        </w:rPr>
        <w:t>от 16.03.2018 N 56-п</w:t>
      </w:r>
      <w:r>
        <w:rPr>
          <w:color w:val="0000FF"/>
          <w:u w:val="single"/>
        </w:rPr>
        <w:fldChar w:fldCharType="end"/>
      </w:r>
      <w:r>
        <w:t xml:space="preserve"> "Об утверждении Порядка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 Субсидии за октябрь, ноябрь и декабрь 2024 года предоставляются согласно указанным в настоящем абзаце нормативным правовым актам в соответствии с лимитами бюджетных обязательств на 2025 год.</w:t>
      </w:r>
    </w:p>
    <w:p w14:paraId="23000000">
      <w:pPr>
        <w:pStyle w:val="Style_3"/>
      </w:pPr>
      <w:bookmarkStart w:id="8" w:name="anchor10002"/>
      <w:bookmarkEnd w:id="8"/>
      <w:r>
        <w:t>2. Для целей настоящего Порядка используются следующие понятия:</w:t>
      </w:r>
    </w:p>
    <w:p w14:paraId="24000000">
      <w:pPr>
        <w:pStyle w:val="Style_3"/>
      </w:pPr>
      <w:bookmarkStart w:id="9" w:name="anchor100021"/>
      <w:bookmarkEnd w:id="9"/>
      <w:r>
        <w:t xml:space="preserve">1) </w:t>
      </w:r>
      <w:r>
        <w:rPr>
          <w:b w:val="1"/>
          <w:color w:val="26282F"/>
        </w:rPr>
        <w:t>запрос предложений</w:t>
      </w:r>
      <w:r>
        <w:t xml:space="preserve"> - проведение отбора получателей субсидий исходя из соответствия участников отбора получателей субсидий критериям и очередности поступления предложений (заявок) на участие в отборе получателей субсидий;</w:t>
      </w:r>
    </w:p>
    <w:p w14:paraId="25000000">
      <w:pPr>
        <w:pStyle w:val="Style_3"/>
      </w:pPr>
      <w:bookmarkStart w:id="10" w:name="anchor100022"/>
      <w:bookmarkEnd w:id="10"/>
      <w:r>
        <w:t xml:space="preserve">2) </w:t>
      </w:r>
      <w:r>
        <w:rPr>
          <w:b w:val="1"/>
          <w:color w:val="26282F"/>
        </w:rPr>
        <w:t>участники отбора</w:t>
      </w:r>
      <w:r>
        <w:t xml:space="preserve"> - юридические лица (за исключением государственных (муниципальных) учреждений), индивидуальные предприниматели, а также физические лица - производители товаров, работ, услуг, соответствующие критериям отбора, установленным </w:t>
      </w:r>
      <w:r>
        <w:rPr>
          <w:color w:val="0000FF"/>
          <w:u w:val="single"/>
        </w:rPr>
        <w:t>пунктом 9</w:t>
      </w:r>
      <w:r>
        <w:t xml:space="preserve"> настоящего Порядка, представившие заявку на участие в отборе (далее - заявка);</w:t>
      </w:r>
    </w:p>
    <w:p w14:paraId="26000000">
      <w:pPr>
        <w:pStyle w:val="Style_3"/>
      </w:pPr>
      <w:bookmarkStart w:id="11" w:name="anchor100023"/>
      <w:bookmarkEnd w:id="11"/>
      <w:r>
        <w:t xml:space="preserve">3) </w:t>
      </w:r>
      <w:r>
        <w:rPr>
          <w:b w:val="1"/>
          <w:color w:val="26282F"/>
        </w:rPr>
        <w:t>победитель отбора</w:t>
      </w:r>
      <w:r>
        <w:t xml:space="preserve"> - участник отбора получателей субсидий, признанный победителем в соответствии с </w:t>
      </w:r>
      <w:r>
        <w:rPr>
          <w:color w:val="0000FF"/>
          <w:u w:val="single"/>
        </w:rPr>
        <w:fldChar w:fldCharType="begin"/>
      </w:r>
      <w:r>
        <w:rPr>
          <w:color w:val="0000FF"/>
          <w:u w:val="single"/>
        </w:rPr>
        <w:instrText>HYPERLINK \l "anchor10039"</w:instrText>
      </w:r>
      <w:r>
        <w:rPr>
          <w:color w:val="0000FF"/>
          <w:u w:val="single"/>
        </w:rPr>
        <w:fldChar w:fldCharType="separate"/>
      </w:r>
      <w:r>
        <w:rPr>
          <w:color w:val="0000FF"/>
          <w:u w:val="single"/>
        </w:rPr>
        <w:t>пунктом 39</w:t>
      </w:r>
      <w:r>
        <w:rPr>
          <w:color w:val="0000FF"/>
          <w:u w:val="single"/>
        </w:rPr>
        <w:fldChar w:fldCharType="end"/>
      </w:r>
      <w:r>
        <w:t xml:space="preserve"> настоящего Порядка;</w:t>
      </w:r>
    </w:p>
    <w:p w14:paraId="27000000">
      <w:pPr>
        <w:pStyle w:val="Style_3"/>
      </w:pPr>
      <w:bookmarkStart w:id="12" w:name="anchor100024"/>
      <w:bookmarkEnd w:id="12"/>
      <w:r>
        <w:t xml:space="preserve">4) </w:t>
      </w:r>
      <w:r>
        <w:rPr>
          <w:b w:val="1"/>
          <w:color w:val="26282F"/>
        </w:rPr>
        <w:t>получатель субсидии</w:t>
      </w:r>
      <w:r>
        <w:t xml:space="preserve"> - победитель отбора, с которым заключено соглашение о предоставлении субсидии.</w:t>
      </w:r>
    </w:p>
    <w:p w14:paraId="28000000">
      <w:pPr>
        <w:pStyle w:val="Style_3"/>
      </w:pPr>
      <w:bookmarkStart w:id="13" w:name="anchor10003"/>
      <w:bookmarkEnd w:id="13"/>
      <w:r>
        <w:t xml:space="preserve">3. Субсидии предоставляются в целях возмещения затрат, возникающих в связи с реализацией населению продовольственных товаров, указанных в Перечне наименований продовольственных товаров согласно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Приложению 1</w:t>
      </w:r>
      <w:r>
        <w:rPr>
          <w:color w:val="0000FF"/>
          <w:u w:val="single"/>
        </w:rPr>
        <w:fldChar w:fldCharType="end"/>
      </w:r>
      <w:r>
        <w:t xml:space="preserve"> к настоящему Порядку (далее - Перечень), в части затрат по доставке в сельские населенные пункты Ненецкого автономного округа.</w:t>
      </w:r>
    </w:p>
    <w:p w14:paraId="29000000">
      <w:pPr>
        <w:pStyle w:val="Style_3"/>
      </w:pPr>
      <w:bookmarkStart w:id="14" w:name="anchor10004"/>
      <w:bookmarkEnd w:id="14"/>
      <w:r>
        <w:t xml:space="preserve">4. Органом государственной власти, осуществляющим функции главного распорядителя бюджетных средств, до которого в соответствии с </w:t>
      </w:r>
      <w:r>
        <w:rPr>
          <w:color w:val="0000FF"/>
          <w:u w:val="single"/>
        </w:rPr>
        <w:fldChar w:fldCharType="begin"/>
      </w:r>
      <w:r>
        <w:rPr>
          <w:color w:val="0000FF"/>
          <w:u w:val="single"/>
        </w:rPr>
        <w:instrText>HYPERLINK "https://internet.garant.ru/document/redirect/12112604/4"</w:instrText>
      </w:r>
      <w:r>
        <w:rPr>
          <w:color w:val="0000FF"/>
          <w:u w:val="single"/>
        </w:rPr>
        <w:fldChar w:fldCharType="separate"/>
      </w:r>
      <w:r>
        <w:rPr>
          <w:color w:val="0000FF"/>
          <w:u w:val="single"/>
        </w:rPr>
        <w:t>бюджетным законодательством</w:t>
      </w:r>
      <w:r>
        <w:rPr>
          <w:color w:val="0000FF"/>
          <w:u w:val="single"/>
        </w:rPr>
        <w:fldChar w:fldCharType="end"/>
      </w:r>
      <w: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Департамент природных ресурсов, экологии и агропромышленного комплекса Ненецкого автономного округа (далее - Департамент).</w:t>
      </w:r>
    </w:p>
    <w:p w14:paraId="2A000000">
      <w:pPr>
        <w:pStyle w:val="Style_3"/>
      </w:pPr>
      <w:bookmarkStart w:id="15" w:name="anchor10005"/>
      <w:bookmarkEnd w:id="15"/>
      <w:r>
        <w:t xml:space="preserve">5. Субсидии предоставляются на безвозмездной и безвозвратной основе получателям субсидий, соответствующим критериям отбора, условиям предоставления субсидий и требованиям к получателям субсидии, установленным </w:t>
      </w:r>
      <w:r>
        <w:rPr>
          <w:color w:val="0000FF"/>
          <w:u w:val="single"/>
        </w:rPr>
        <w:t>пунктами 9</w:t>
      </w:r>
      <w:r>
        <w:t xml:space="preserve">,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10</w:t>
      </w:r>
      <w:r>
        <w:rPr>
          <w:color w:val="0000FF"/>
          <w:u w:val="single"/>
        </w:rPr>
        <w:fldChar w:fldCharType="end"/>
      </w:r>
      <w:r>
        <w:t xml:space="preserve"> настоящего Порядка.</w:t>
      </w:r>
    </w:p>
    <w:p w14:paraId="2B000000">
      <w:pPr>
        <w:pStyle w:val="Style_3"/>
      </w:pPr>
      <w:bookmarkStart w:id="16" w:name="anchor10006"/>
      <w:bookmarkEnd w:id="16"/>
      <w:r>
        <w:t>6. Способ предоставления субсидии - возмещение затрат.</w:t>
      </w:r>
    </w:p>
    <w:p w14:paraId="2C000000">
      <w:pPr>
        <w:pStyle w:val="Style_3"/>
      </w:pPr>
      <w:r>
        <w:t>Направление затрат, на возмещение которых предоставляются субсидии: затраты на оказание услуг по доставке продовольственных товаров.</w:t>
      </w:r>
    </w:p>
    <w:p w14:paraId="2D000000">
      <w:pPr>
        <w:pStyle w:val="Style_3"/>
      </w:pPr>
      <w:r>
        <w:t xml:space="preserve">7. Информация о субсидии размещается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Департамента.</w:t>
      </w:r>
    </w:p>
    <w:p w14:paraId="2E000000">
      <w:pPr>
        <w:pStyle w:val="Style_3"/>
      </w:pPr>
      <w:bookmarkStart w:id="17" w:name="anchor10008"/>
      <w:bookmarkEnd w:id="17"/>
      <w:r>
        <w:t>8. Департаментом в форме распоряжения принимаются следующие решения:</w:t>
      </w:r>
    </w:p>
    <w:p w14:paraId="2F000000">
      <w:pPr>
        <w:pStyle w:val="Style_3"/>
      </w:pPr>
      <w:bookmarkStart w:id="18" w:name="anchor100081"/>
      <w:bookmarkEnd w:id="18"/>
      <w:r>
        <w:t>1) о проведении отбора;</w:t>
      </w:r>
    </w:p>
    <w:p w14:paraId="30000000">
      <w:pPr>
        <w:pStyle w:val="Style_3"/>
      </w:pPr>
      <w:bookmarkStart w:id="19" w:name="anchor100082"/>
      <w:bookmarkEnd w:id="19"/>
      <w:r>
        <w:t xml:space="preserve">2) о проведении дополнительного отбора, в случае, предусмотренном </w:t>
      </w:r>
      <w:r>
        <w:rPr>
          <w:color w:val="0000FF"/>
          <w:u w:val="single"/>
        </w:rPr>
        <w:fldChar w:fldCharType="begin"/>
      </w:r>
      <w:r>
        <w:rPr>
          <w:color w:val="0000FF"/>
          <w:u w:val="single"/>
        </w:rPr>
        <w:instrText>HYPERLINK \l "anchor10056"</w:instrText>
      </w:r>
      <w:r>
        <w:rPr>
          <w:color w:val="0000FF"/>
          <w:u w:val="single"/>
        </w:rPr>
        <w:fldChar w:fldCharType="separate"/>
      </w:r>
      <w:r>
        <w:rPr>
          <w:color w:val="0000FF"/>
          <w:u w:val="single"/>
        </w:rPr>
        <w:t>пунктом 56</w:t>
      </w:r>
      <w:r>
        <w:rPr>
          <w:color w:val="0000FF"/>
          <w:u w:val="single"/>
        </w:rPr>
        <w:fldChar w:fldCharType="end"/>
      </w:r>
      <w:r>
        <w:t xml:space="preserve"> настоящего Порядка;</w:t>
      </w:r>
    </w:p>
    <w:p w14:paraId="31000000">
      <w:pPr>
        <w:pStyle w:val="Style_3"/>
      </w:pPr>
      <w:bookmarkStart w:id="20" w:name="anchor100083"/>
      <w:bookmarkEnd w:id="20"/>
      <w:r>
        <w:t>3) о предоставлении субсидий либо об отказе в предоставлении субсидий (полном или частичном);</w:t>
      </w:r>
    </w:p>
    <w:p w14:paraId="32000000">
      <w:pPr>
        <w:pStyle w:val="Style_3"/>
      </w:pPr>
      <w:bookmarkStart w:id="21" w:name="anchor100084"/>
      <w:bookmarkEnd w:id="21"/>
      <w:r>
        <w:t>4) об отмене отбора.</w:t>
      </w:r>
    </w:p>
    <w:p w14:paraId="33000000">
      <w:pPr>
        <w:pStyle w:val="Style_2"/>
        <w:ind/>
        <w:outlineLvl w:val="0"/>
      </w:pPr>
      <w:bookmarkStart w:id="22" w:name="anchor200"/>
      <w:bookmarkEnd w:id="22"/>
      <w:r>
        <w:t>Раздел II Условия и порядок предоставления субсидий</w:t>
      </w:r>
    </w:p>
    <w:p w14:paraId="34000000">
      <w:pPr>
        <w:pStyle w:val="Style_2"/>
        <w:ind/>
        <w:outlineLvl w:val="0"/>
      </w:pPr>
      <w:bookmarkStart w:id="23" w:name="anchor210"/>
      <w:bookmarkEnd w:id="23"/>
      <w:r>
        <w:t>Глава 1. Критерии отбора, требования к участнику отбора (получателю субсидии), размер субсидии, результат предоставления субсидии</w:t>
      </w:r>
    </w:p>
    <w:p w14:paraId="35000000">
      <w:pPr>
        <w:pStyle w:val="Style_3"/>
      </w:pPr>
    </w:p>
    <w:p w14:paraId="36000000">
      <w:pPr>
        <w:pStyle w:val="Style_3"/>
      </w:pPr>
      <w:r>
        <w:t>9. Критерии отбора:</w:t>
      </w:r>
    </w:p>
    <w:p w14:paraId="37000000">
      <w:pPr>
        <w:pStyle w:val="Style_3"/>
      </w:pPr>
      <w:r>
        <w:t>участниками отбора могут быть юридические лица (за исключением государственных (муниципальных) учреждений), индивидуальные предприниматели, осуществляющие в сельских населенных пунктах Ненецкого автономного округа розничную торговлю продовольственными товарами;</w:t>
      </w:r>
    </w:p>
    <w:p w14:paraId="38000000">
      <w:pPr>
        <w:pStyle w:val="Style_3"/>
      </w:pPr>
      <w:bookmarkStart w:id="24" w:name="anchor100093"/>
      <w:bookmarkEnd w:id="24"/>
      <w:r>
        <w:t>участник отбора имеет на территории сельского поселения здание/часть здания/помещение (в случае осуществления торговой деятельности в стационарных торговых объектах)</w:t>
      </w:r>
    </w:p>
    <w:p w14:paraId="39000000">
      <w:pPr>
        <w:pStyle w:val="Style_3"/>
      </w:pPr>
      <w:r>
        <w:t xml:space="preserve">Участник отбора для подтверждения соответствия критерию, установленному </w:t>
      </w:r>
      <w:r>
        <w:rPr>
          <w:color w:val="0000FF"/>
          <w:u w:val="single"/>
        </w:rPr>
        <w:fldChar w:fldCharType="begin"/>
      </w:r>
      <w:r>
        <w:rPr>
          <w:color w:val="0000FF"/>
          <w:u w:val="single"/>
        </w:rPr>
        <w:instrText>HYPERLINK \l "anchor100093"</w:instrText>
      </w:r>
      <w:r>
        <w:rPr>
          <w:color w:val="0000FF"/>
          <w:u w:val="single"/>
        </w:rPr>
        <w:fldChar w:fldCharType="separate"/>
      </w:r>
      <w:r>
        <w:rPr>
          <w:color w:val="0000FF"/>
          <w:u w:val="single"/>
        </w:rPr>
        <w:t>абзацем третьим</w:t>
      </w:r>
      <w:r>
        <w:rPr>
          <w:color w:val="0000FF"/>
          <w:u w:val="single"/>
        </w:rPr>
        <w:fldChar w:fldCharType="end"/>
      </w:r>
      <w:r>
        <w:t xml:space="preserve"> настоящего пункта в срок, определенный в объявлении о проведении отбора, представляет в Департамент копии документов, подтверждающих право собственности и (или) аренды на здание/часть здания/помещение для осуществления торговой деятельности.</w:t>
      </w:r>
    </w:p>
    <w:p w14:paraId="3A000000">
      <w:pPr>
        <w:pStyle w:val="Style_3"/>
      </w:pPr>
      <w:bookmarkStart w:id="25" w:name="anchor10010"/>
      <w:bookmarkEnd w:id="25"/>
      <w:r>
        <w:t>10. Участник отбора на дату подачи заявки должен соответствовать следующим требованиям:</w:t>
      </w:r>
    </w:p>
    <w:p w14:paraId="3B000000">
      <w:pPr>
        <w:pStyle w:val="Style_3"/>
      </w:pPr>
      <w:bookmarkStart w:id="26" w:name="anchor100101"/>
      <w:bookmarkEnd w:id="26"/>
      <w: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r>
        <w:rPr>
          <w:color w:val="0000FF"/>
          <w:u w:val="single"/>
        </w:rPr>
        <w:fldChar w:fldCharType="begin"/>
      </w:r>
      <w:r>
        <w:rPr>
          <w:color w:val="0000FF"/>
          <w:u w:val="single"/>
        </w:rPr>
        <w:instrText>HYPERLINK "https://internet.garant.ru/document/redirect/404896369/1000"</w:instrText>
      </w:r>
      <w:r>
        <w:rPr>
          <w:color w:val="0000FF"/>
          <w:u w:val="single"/>
        </w:rPr>
        <w:fldChar w:fldCharType="separate"/>
      </w:r>
      <w:r>
        <w:rPr>
          <w:color w:val="0000FF"/>
          <w:u w:val="single"/>
        </w:rPr>
        <w:t>перечень</w:t>
      </w:r>
      <w:r>
        <w:rPr>
          <w:color w:val="0000FF"/>
          <w:u w:val="single"/>
        </w:rPr>
        <w:fldChar w:fldCharType="end"/>
      </w:r>
      <w: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C000000">
      <w:pPr>
        <w:pStyle w:val="Style_3"/>
      </w:pPr>
      <w:bookmarkStart w:id="27" w:name="anchor100102"/>
      <w:bookmarkEnd w:id="27"/>
      <w:r>
        <w:t>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D000000">
      <w:pPr>
        <w:pStyle w:val="Style_3"/>
      </w:pPr>
      <w:bookmarkStart w:id="28" w:name="anchor100103"/>
      <w:bookmarkEnd w:id="28"/>
      <w:r>
        <w:t xml:space="preserve">3) не находится в составляемых в рамках реализации полномочий, предусмотренных </w:t>
      </w:r>
      <w:r>
        <w:rPr>
          <w:color w:val="0000FF"/>
          <w:u w:val="single"/>
        </w:rPr>
        <w:fldChar w:fldCharType="begin"/>
      </w:r>
      <w:r>
        <w:rPr>
          <w:color w:val="0000FF"/>
          <w:u w:val="single"/>
        </w:rPr>
        <w:instrText>HYPERLINK "https://internet.garant.ru/document/redirect/2540400/7000"</w:instrText>
      </w:r>
      <w:r>
        <w:rPr>
          <w:color w:val="0000FF"/>
          <w:u w:val="single"/>
        </w:rPr>
        <w:fldChar w:fldCharType="separate"/>
      </w:r>
      <w:r>
        <w:rPr>
          <w:color w:val="0000FF"/>
          <w:u w:val="single"/>
        </w:rPr>
        <w:t>главой VII</w:t>
      </w:r>
      <w:r>
        <w:rPr>
          <w:color w:val="0000FF"/>
          <w:u w:val="single"/>
        </w:rPr>
        <w:fldChar w:fldCharType="end"/>
      </w:r>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E000000">
      <w:pPr>
        <w:pStyle w:val="Style_3"/>
      </w:pPr>
      <w:bookmarkStart w:id="29" w:name="anchor100104"/>
      <w:bookmarkEnd w:id="29"/>
      <w:r>
        <w:t xml:space="preserve">4) не получает средства из окружного бюджета в соответствии с иными нормативными правовыми актами Ненецкого автономного округа на цели, указанные в </w:t>
      </w:r>
      <w:r>
        <w:rPr>
          <w:color w:val="0000FF"/>
          <w:u w:val="single"/>
        </w:rPr>
        <w:fldChar w:fldCharType="begin"/>
      </w:r>
      <w:r>
        <w:rPr>
          <w:color w:val="0000FF"/>
          <w:u w:val="single"/>
        </w:rPr>
        <w:instrText>HYPERLINK \l "anchor10003"</w:instrText>
      </w:r>
      <w:r>
        <w:rPr>
          <w:color w:val="0000FF"/>
          <w:u w:val="single"/>
        </w:rPr>
        <w:fldChar w:fldCharType="separate"/>
      </w:r>
      <w:r>
        <w:rPr>
          <w:color w:val="0000FF"/>
          <w:u w:val="single"/>
        </w:rPr>
        <w:t>пункте 3</w:t>
      </w:r>
      <w:r>
        <w:rPr>
          <w:color w:val="0000FF"/>
          <w:u w:val="single"/>
        </w:rPr>
        <w:fldChar w:fldCharType="end"/>
      </w:r>
      <w:r>
        <w:t xml:space="preserve"> настоящего Порядка;</w:t>
      </w:r>
    </w:p>
    <w:p w14:paraId="3F000000">
      <w:pPr>
        <w:pStyle w:val="Style_3"/>
      </w:pPr>
      <w:bookmarkStart w:id="30" w:name="anchor100105"/>
      <w:bookmarkEnd w:id="30"/>
      <w:r>
        <w:t xml:space="preserve">5) не является иностранным агентом в соответствии с </w:t>
      </w:r>
      <w:r>
        <w:rPr>
          <w:color w:val="0000FF"/>
          <w:u w:val="single"/>
        </w:rPr>
        <w:fldChar w:fldCharType="begin"/>
      </w:r>
      <w:r>
        <w:rPr>
          <w:color w:val="0000FF"/>
          <w:u w:val="single"/>
        </w:rPr>
        <w:instrText>HYPERLINK "https://internet.garant.ru/document/redirect/404991865/0"</w:instrText>
      </w:r>
      <w:r>
        <w:rPr>
          <w:color w:val="0000FF"/>
          <w:u w:val="single"/>
        </w:rPr>
        <w:fldChar w:fldCharType="separate"/>
      </w:r>
      <w:r>
        <w:rPr>
          <w:color w:val="0000FF"/>
          <w:u w:val="single"/>
        </w:rPr>
        <w:t>Федеральным законом</w:t>
      </w:r>
      <w:r>
        <w:rPr>
          <w:color w:val="0000FF"/>
          <w:u w:val="single"/>
        </w:rPr>
        <w:fldChar w:fldCharType="end"/>
      </w:r>
      <w:r>
        <w:t xml:space="preserve"> от 14.07.2022 N 255-ФЗ "О контроле за деятельностью лиц, находящихся под иностранным влиянием";</w:t>
      </w:r>
    </w:p>
    <w:p w14:paraId="40000000">
      <w:pPr>
        <w:pStyle w:val="Style_3"/>
      </w:pPr>
      <w:bookmarkStart w:id="31" w:name="anchor100106"/>
      <w:bookmarkEnd w:id="31"/>
      <w:r>
        <w:t xml:space="preserve">6) на едином налоговом счете отсутствует или не превышает размер, определенный </w:t>
      </w:r>
      <w:r>
        <w:rPr>
          <w:color w:val="0000FF"/>
          <w:u w:val="single"/>
        </w:rPr>
        <w:fldChar w:fldCharType="begin"/>
      </w:r>
      <w:r>
        <w:rPr>
          <w:color w:val="0000FF"/>
          <w:u w:val="single"/>
        </w:rPr>
        <w:instrText>HYPERLINK "https://internet.garant.ru/document/redirect/10900200/473"</w:instrText>
      </w:r>
      <w:r>
        <w:rPr>
          <w:color w:val="0000FF"/>
          <w:u w:val="single"/>
        </w:rPr>
        <w:fldChar w:fldCharType="separate"/>
      </w:r>
      <w:r>
        <w:rPr>
          <w:color w:val="0000FF"/>
          <w:u w:val="single"/>
        </w:rPr>
        <w:t>пунктом 3 статьи 47</w:t>
      </w:r>
      <w:r>
        <w:rPr>
          <w:color w:val="0000FF"/>
          <w:u w:val="single"/>
        </w:rPr>
        <w:fldChar w:fldCharType="end"/>
      </w:r>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1000000">
      <w:pPr>
        <w:pStyle w:val="Style_3"/>
      </w:pPr>
      <w:bookmarkStart w:id="32" w:name="anchor100107"/>
      <w:bookmarkEnd w:id="32"/>
      <w:r>
        <w:t>7) отсутствует просроченная задолженность по возврату в окружной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Ненецким автономным округом, из бюджета которого планируется предоставление субсидии в соответствии с настоящим Порядком;</w:t>
      </w:r>
    </w:p>
    <w:p w14:paraId="42000000">
      <w:pPr>
        <w:pStyle w:val="Style_3"/>
      </w:pPr>
      <w:bookmarkStart w:id="33" w:name="anchor100108"/>
      <w:bookmarkEnd w:id="33"/>
      <w: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3000000">
      <w:pPr>
        <w:pStyle w:val="Style_3"/>
      </w:pPr>
      <w:bookmarkStart w:id="34" w:name="anchor10011"/>
      <w:bookmarkEnd w:id="34"/>
      <w:r>
        <w:t xml:space="preserve">11. Проверка участника отбора на соответствие требованиям, указанным в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пункте 10</w:t>
      </w:r>
      <w:r>
        <w:rPr>
          <w:color w:val="0000FF"/>
          <w:u w:val="single"/>
        </w:rPr>
        <w:fldChar w:fldCharType="end"/>
      </w:r>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4000000">
      <w:pPr>
        <w:pStyle w:val="Style_3"/>
      </w:pPr>
      <w:r>
        <w:t xml:space="preserve">Подтверждение соответствия участника отбора требованиям, указанным в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пункте 10</w:t>
      </w:r>
      <w:r>
        <w:rPr>
          <w:color w:val="0000FF"/>
          <w:u w:val="single"/>
        </w:rPr>
        <w:fldChar w:fldCharType="end"/>
      </w:r>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5000000">
      <w:pPr>
        <w:pStyle w:val="Style_3"/>
      </w:pPr>
      <w:bookmarkStart w:id="35" w:name="anchor10012"/>
      <w:bookmarkEnd w:id="35"/>
      <w:r>
        <w:t xml:space="preserve">12. Департамент в целях подтверждения соответствия участника отбора требованиям, указанным в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пункте 10</w:t>
      </w:r>
      <w:r>
        <w:rPr>
          <w:color w:val="0000FF"/>
          <w:u w:val="single"/>
        </w:rPr>
        <w:fldChar w:fldCharType="end"/>
      </w:r>
      <w:r>
        <w:t xml:space="preserve"> настоящего Порядка,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46000000">
      <w:pPr>
        <w:pStyle w:val="Style_3"/>
      </w:pPr>
      <w:bookmarkStart w:id="36" w:name="anchor10013"/>
      <w:bookmarkEnd w:id="36"/>
      <w:r>
        <w:t xml:space="preserve">13. Участник отбора для подтверждения соответствия требованиям, указанным в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пункте 10</w:t>
      </w:r>
      <w:r>
        <w:rPr>
          <w:color w:val="0000FF"/>
          <w:u w:val="single"/>
        </w:rPr>
        <w:fldChar w:fldCharType="end"/>
      </w:r>
      <w:r>
        <w:t xml:space="preserve"> настоящего Порядка, вправе по собственной инициативе представить в Департамент в срок, определенный в объявлении о проведении отбора, следующие документы и сведения:</w:t>
      </w:r>
    </w:p>
    <w:p w14:paraId="47000000">
      <w:pPr>
        <w:pStyle w:val="Style_3"/>
      </w:pPr>
      <w:r>
        <w:t>1) выписку из Единого государственного реестра юридических лиц (полученную не ранее чем за месяц до даты подачи заявки);</w:t>
      </w:r>
    </w:p>
    <w:p w14:paraId="48000000">
      <w:pPr>
        <w:pStyle w:val="Style_3"/>
      </w:pPr>
      <w:r>
        <w:t>2) выписку из Единого государственного реестра индивидуальных предпринимателей (полученную не ранее чем за месяц до даты подачи заявки);</w:t>
      </w:r>
    </w:p>
    <w:p w14:paraId="49000000">
      <w:pPr>
        <w:pStyle w:val="Style_3"/>
      </w:pPr>
      <w:r>
        <w:t xml:space="preserve">3) сведения о наличии (отсутствии) задолженности по уплате налогов, сборов, страховых взносов, пеней, штрафов, процентов, подлежащих уплате в соответствии с </w:t>
      </w:r>
      <w:r>
        <w:rPr>
          <w:color w:val="0000FF"/>
          <w:u w:val="single"/>
        </w:rPr>
        <w:fldChar w:fldCharType="begin"/>
      </w:r>
      <w:r>
        <w:rPr>
          <w:color w:val="0000FF"/>
          <w:u w:val="single"/>
        </w:rPr>
        <w:instrText>HYPERLINK "https://internet.garant.ru/document/redirect/10900200/1"</w:instrText>
      </w:r>
      <w:r>
        <w:rPr>
          <w:color w:val="0000FF"/>
          <w:u w:val="single"/>
        </w:rPr>
        <w:fldChar w:fldCharType="separate"/>
      </w:r>
      <w:r>
        <w:rPr>
          <w:color w:val="0000FF"/>
          <w:u w:val="single"/>
        </w:rPr>
        <w:t>законодательством</w:t>
      </w:r>
      <w:r>
        <w:rPr>
          <w:color w:val="0000FF"/>
          <w:u w:val="single"/>
        </w:rPr>
        <w:fldChar w:fldCharType="end"/>
      </w:r>
      <w:r>
        <w:t xml:space="preserve"> Российской Федерации о налогах и сборах;</w:t>
      </w:r>
    </w:p>
    <w:p w14:paraId="4A000000">
      <w:pPr>
        <w:pStyle w:val="Style_3"/>
      </w:pPr>
      <w:r>
        <w:t>4) сведения о наличии (отсутствии) просроченной (неурегулированной) задолженности перед окружным бюджетом.</w:t>
      </w:r>
    </w:p>
    <w:p w14:paraId="4B000000">
      <w:pPr>
        <w:pStyle w:val="Style_3"/>
      </w:pPr>
      <w:r>
        <w:t xml:space="preserve">14. Департамент в срок не позднее трех рабочих дней со дня окончания срока приема заявок запрашивает документы и сведения, указанные в </w:t>
      </w:r>
      <w:r>
        <w:rPr>
          <w:color w:val="0000FF"/>
          <w:u w:val="single"/>
        </w:rPr>
        <w:fldChar w:fldCharType="begin"/>
      </w:r>
      <w:r>
        <w:rPr>
          <w:color w:val="0000FF"/>
          <w:u w:val="single"/>
        </w:rPr>
        <w:instrText>HYPERLINK \l "anchor10013"</w:instrText>
      </w:r>
      <w:r>
        <w:rPr>
          <w:color w:val="0000FF"/>
          <w:u w:val="single"/>
        </w:rPr>
        <w:fldChar w:fldCharType="separate"/>
      </w:r>
      <w:r>
        <w:rPr>
          <w:color w:val="0000FF"/>
          <w:u w:val="single"/>
        </w:rPr>
        <w:t>пункте 13</w:t>
      </w:r>
      <w:r>
        <w:rPr>
          <w:color w:val="0000FF"/>
          <w:u w:val="single"/>
        </w:rPr>
        <w:fldChar w:fldCharType="end"/>
      </w:r>
      <w:r>
        <w:t xml:space="preserve"> настоящего Порядка, в уполномоченном органе, в распоряжении которого они находятся.</w:t>
      </w:r>
    </w:p>
    <w:p w14:paraId="4C000000">
      <w:pPr>
        <w:pStyle w:val="Style_3"/>
      </w:pPr>
      <w:r>
        <w:t>При отсутствии технической возможности проверки в автоматическом режиме Департамент осуществляет проверку в срок не более трех рабочих дней со дня окончания приема заявок в следующем порядке:</w:t>
      </w:r>
    </w:p>
    <w:p w14:paraId="4D000000">
      <w:pPr>
        <w:pStyle w:val="Style_3"/>
      </w:pPr>
      <w:r>
        <w:t xml:space="preserve">сведения, установленные </w:t>
      </w:r>
      <w:r>
        <w:rPr>
          <w:color w:val="0000FF"/>
          <w:u w:val="single"/>
        </w:rPr>
        <w:fldChar w:fldCharType="begin"/>
      </w:r>
      <w:r>
        <w:rPr>
          <w:color w:val="0000FF"/>
          <w:u w:val="single"/>
        </w:rPr>
        <w:instrText>HYPERLINK \l "anchor100101"</w:instrText>
      </w:r>
      <w:r>
        <w:rPr>
          <w:color w:val="0000FF"/>
          <w:u w:val="single"/>
        </w:rPr>
        <w:fldChar w:fldCharType="separate"/>
      </w:r>
      <w:r>
        <w:rPr>
          <w:color w:val="0000FF"/>
          <w:u w:val="single"/>
        </w:rPr>
        <w:t>подпунктом 1 пункта 10</w:t>
      </w:r>
      <w:r>
        <w:rPr>
          <w:color w:val="0000FF"/>
          <w:u w:val="single"/>
        </w:rPr>
        <w:fldChar w:fldCharType="end"/>
      </w:r>
      <w:r>
        <w:t xml:space="preserve"> настоящего Порядка, проверяются с использованием общедоступных сведений, размещенных на официальном сайте Федеральной налоговой службы по адресу: </w:t>
      </w:r>
      <w:r>
        <w:rPr>
          <w:color w:val="0000FF"/>
          <w:u w:val="single"/>
        </w:rPr>
        <w:fldChar w:fldCharType="begin"/>
      </w:r>
      <w:r>
        <w:rPr>
          <w:color w:val="0000FF"/>
          <w:u w:val="single"/>
        </w:rPr>
        <w:instrText>HYPERLINK "https://service.nalog.ru/rafp"</w:instrText>
      </w:r>
      <w:r>
        <w:rPr>
          <w:color w:val="0000FF"/>
          <w:u w:val="single"/>
        </w:rPr>
        <w:fldChar w:fldCharType="separate"/>
      </w:r>
      <w:r>
        <w:rPr>
          <w:color w:val="0000FF"/>
          <w:u w:val="single"/>
        </w:rPr>
        <w:t>https://service.nalog.ru/rafp/</w:t>
      </w:r>
      <w:r>
        <w:rPr>
          <w:color w:val="0000FF"/>
          <w:u w:val="single"/>
        </w:rPr>
        <w:fldChar w:fldCharType="end"/>
      </w:r>
      <w:r>
        <w:t>;</w:t>
      </w:r>
    </w:p>
    <w:p w14:paraId="4E000000">
      <w:pPr>
        <w:pStyle w:val="Style_3"/>
      </w:pPr>
      <w:r>
        <w:t xml:space="preserve">сведения, установленные </w:t>
      </w:r>
      <w:r>
        <w:rPr>
          <w:color w:val="0000FF"/>
          <w:u w:val="single"/>
        </w:rPr>
        <w:fldChar w:fldCharType="begin"/>
      </w:r>
      <w:r>
        <w:rPr>
          <w:color w:val="0000FF"/>
          <w:u w:val="single"/>
        </w:rPr>
        <w:instrText>HYPERLINK \l "anchor100102"</w:instrText>
      </w:r>
      <w:r>
        <w:rPr>
          <w:color w:val="0000FF"/>
          <w:u w:val="single"/>
        </w:rPr>
        <w:fldChar w:fldCharType="separate"/>
      </w:r>
      <w:r>
        <w:rPr>
          <w:color w:val="0000FF"/>
          <w:u w:val="single"/>
        </w:rPr>
        <w:t>подпунктами 2</w:t>
      </w:r>
      <w:r>
        <w:rPr>
          <w:color w:val="0000FF"/>
          <w:u w:val="single"/>
        </w:rPr>
        <w:fldChar w:fldCharType="end"/>
      </w:r>
      <w:r>
        <w:t xml:space="preserve">, </w:t>
      </w:r>
      <w:r>
        <w:rPr>
          <w:color w:val="0000FF"/>
          <w:u w:val="single"/>
        </w:rPr>
        <w:fldChar w:fldCharType="begin"/>
      </w:r>
      <w:r>
        <w:rPr>
          <w:color w:val="0000FF"/>
          <w:u w:val="single"/>
        </w:rPr>
        <w:instrText>HYPERLINK \l "anchor100103"</w:instrText>
      </w:r>
      <w:r>
        <w:rPr>
          <w:color w:val="0000FF"/>
          <w:u w:val="single"/>
        </w:rPr>
        <w:fldChar w:fldCharType="separate"/>
      </w:r>
      <w:r>
        <w:rPr>
          <w:color w:val="0000FF"/>
          <w:u w:val="single"/>
        </w:rPr>
        <w:t>3 пункта 10</w:t>
      </w:r>
      <w:r>
        <w:rPr>
          <w:color w:val="0000FF"/>
          <w:u w:val="single"/>
        </w:rPr>
        <w:fldChar w:fldCharType="end"/>
      </w:r>
      <w:r>
        <w:t xml:space="preserve"> настоящего Порядка, проверяются с использованием общедоступных сведений, размещенных на официальном сайте Федеральной службы по финансовому мониторингу (Росфинмониторинг) в информационно-телекоммуникационной сети "Интернет" по адресу: </w:t>
      </w:r>
      <w:r>
        <w:rPr>
          <w:color w:val="0000FF"/>
          <w:u w:val="single"/>
        </w:rPr>
        <w:fldChar w:fldCharType="begin"/>
      </w:r>
      <w:r>
        <w:rPr>
          <w:color w:val="0000FF"/>
          <w:u w:val="single"/>
        </w:rPr>
        <w:instrText>HYPERLINK "https://www.fedsfm.ru/documents/terr-list"</w:instrText>
      </w:r>
      <w:r>
        <w:rPr>
          <w:color w:val="0000FF"/>
          <w:u w:val="single"/>
        </w:rPr>
        <w:fldChar w:fldCharType="separate"/>
      </w:r>
      <w:r>
        <w:rPr>
          <w:color w:val="0000FF"/>
          <w:u w:val="single"/>
        </w:rPr>
        <w:t>https://www.fedsfm.ru/documents/terr-list</w:t>
      </w:r>
      <w:r>
        <w:rPr>
          <w:color w:val="0000FF"/>
          <w:u w:val="single"/>
        </w:rPr>
        <w:fldChar w:fldCharType="end"/>
      </w:r>
      <w:r>
        <w:t>;</w:t>
      </w:r>
    </w:p>
    <w:p w14:paraId="4F000000">
      <w:pPr>
        <w:pStyle w:val="Style_3"/>
      </w:pPr>
      <w:r>
        <w:t xml:space="preserve">сведения, установленные </w:t>
      </w:r>
      <w:r>
        <w:rPr>
          <w:color w:val="0000FF"/>
          <w:u w:val="single"/>
        </w:rPr>
        <w:fldChar w:fldCharType="begin"/>
      </w:r>
      <w:r>
        <w:rPr>
          <w:color w:val="0000FF"/>
          <w:u w:val="single"/>
        </w:rPr>
        <w:instrText>HYPERLINK \l "anchor100104"</w:instrText>
      </w:r>
      <w:r>
        <w:rPr>
          <w:color w:val="0000FF"/>
          <w:u w:val="single"/>
        </w:rPr>
        <w:fldChar w:fldCharType="separate"/>
      </w:r>
      <w:r>
        <w:rPr>
          <w:color w:val="0000FF"/>
          <w:u w:val="single"/>
        </w:rPr>
        <w:t>подпунктом 4 пункта 10</w:t>
      </w:r>
      <w:r>
        <w:rPr>
          <w:color w:val="0000FF"/>
          <w:u w:val="single"/>
        </w:rPr>
        <w:fldChar w:fldCharType="end"/>
      </w:r>
      <w:r>
        <w:t xml:space="preserve"> настоящего Порядка, находятся в распоряжении Департамента;</w:t>
      </w:r>
    </w:p>
    <w:p w14:paraId="50000000">
      <w:pPr>
        <w:pStyle w:val="Style_3"/>
      </w:pPr>
      <w:r>
        <w:t xml:space="preserve">сведения, установленные </w:t>
      </w:r>
      <w:r>
        <w:rPr>
          <w:color w:val="0000FF"/>
          <w:u w:val="single"/>
        </w:rPr>
        <w:fldChar w:fldCharType="begin"/>
      </w:r>
      <w:r>
        <w:rPr>
          <w:color w:val="0000FF"/>
          <w:u w:val="single"/>
        </w:rPr>
        <w:instrText>HYPERLINK \l "anchor100105"</w:instrText>
      </w:r>
      <w:r>
        <w:rPr>
          <w:color w:val="0000FF"/>
          <w:u w:val="single"/>
        </w:rPr>
        <w:fldChar w:fldCharType="separate"/>
      </w:r>
      <w:r>
        <w:rPr>
          <w:color w:val="0000FF"/>
          <w:u w:val="single"/>
        </w:rPr>
        <w:t>подпунктом 5 пункта 10</w:t>
      </w:r>
      <w:r>
        <w:rPr>
          <w:color w:val="0000FF"/>
          <w:u w:val="single"/>
        </w:rPr>
        <w:fldChar w:fldCharType="end"/>
      </w:r>
      <w:r>
        <w:t xml:space="preserve"> настоящего Порядка, проверяются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 по адресу: </w:t>
      </w:r>
      <w:r>
        <w:rPr>
          <w:color w:val="0000FF"/>
          <w:u w:val="single"/>
        </w:rPr>
        <w:fldChar w:fldCharType="begin"/>
      </w:r>
      <w:r>
        <w:rPr>
          <w:color w:val="0000FF"/>
          <w:u w:val="single"/>
        </w:rPr>
        <w:instrText>HYPERLINK "https://minjust.gov.ru/ru/activity/directions/998"</w:instrText>
      </w:r>
      <w:r>
        <w:rPr>
          <w:color w:val="0000FF"/>
          <w:u w:val="single"/>
        </w:rPr>
        <w:fldChar w:fldCharType="separate"/>
      </w:r>
      <w:r>
        <w:rPr>
          <w:color w:val="0000FF"/>
          <w:u w:val="single"/>
        </w:rPr>
        <w:t>https://minjust.gov.ru/ru/activity/directions/998/</w:t>
      </w:r>
      <w:r>
        <w:rPr>
          <w:color w:val="0000FF"/>
          <w:u w:val="single"/>
        </w:rPr>
        <w:fldChar w:fldCharType="end"/>
      </w:r>
      <w:r>
        <w:t>;</w:t>
      </w:r>
    </w:p>
    <w:p w14:paraId="51000000">
      <w:pPr>
        <w:pStyle w:val="Style_3"/>
      </w:pPr>
      <w:r>
        <w:t xml:space="preserve">сведения, установленные </w:t>
      </w:r>
      <w:r>
        <w:rPr>
          <w:color w:val="0000FF"/>
          <w:u w:val="single"/>
        </w:rPr>
        <w:fldChar w:fldCharType="begin"/>
      </w:r>
      <w:r>
        <w:rPr>
          <w:color w:val="0000FF"/>
          <w:u w:val="single"/>
        </w:rPr>
        <w:instrText>HYPERLINK \l "anchor100106"</w:instrText>
      </w:r>
      <w:r>
        <w:rPr>
          <w:color w:val="0000FF"/>
          <w:u w:val="single"/>
        </w:rPr>
        <w:fldChar w:fldCharType="separate"/>
      </w:r>
      <w:r>
        <w:rPr>
          <w:color w:val="0000FF"/>
          <w:u w:val="single"/>
        </w:rPr>
        <w:t>подпунктом 6 пункта 10</w:t>
      </w:r>
      <w:r>
        <w:rPr>
          <w:color w:val="0000FF"/>
          <w:u w:val="single"/>
        </w:rPr>
        <w:fldChar w:fldCharType="end"/>
      </w:r>
      <w:r>
        <w:t xml:space="preserve"> настоящего Порядка, проверяются посредством направления запроса через каналы региональной системы межведомственного электронного взаимодействия;</w:t>
      </w:r>
    </w:p>
    <w:p w14:paraId="52000000">
      <w:pPr>
        <w:pStyle w:val="Style_3"/>
      </w:pPr>
      <w:bookmarkStart w:id="37" w:name="anchor100148"/>
      <w:bookmarkEnd w:id="37"/>
      <w:r>
        <w:t xml:space="preserve">сведения, установленные </w:t>
      </w:r>
      <w:r>
        <w:rPr>
          <w:color w:val="0000FF"/>
          <w:u w:val="single"/>
        </w:rPr>
        <w:fldChar w:fldCharType="begin"/>
      </w:r>
      <w:r>
        <w:rPr>
          <w:color w:val="0000FF"/>
          <w:u w:val="single"/>
        </w:rPr>
        <w:instrText>HYPERLINK \l "anchor100107"</w:instrText>
      </w:r>
      <w:r>
        <w:rPr>
          <w:color w:val="0000FF"/>
          <w:u w:val="single"/>
        </w:rPr>
        <w:fldChar w:fldCharType="separate"/>
      </w:r>
      <w:r>
        <w:rPr>
          <w:color w:val="0000FF"/>
          <w:u w:val="single"/>
        </w:rPr>
        <w:t>подпунктом 7 пункта 10</w:t>
      </w:r>
      <w:r>
        <w:rPr>
          <w:color w:val="0000FF"/>
          <w:u w:val="single"/>
        </w:rPr>
        <w:fldChar w:fldCharType="end"/>
      </w:r>
      <w:r>
        <w:t xml:space="preserve"> настоящего Порядка, проверяются на сайте Департамента финансов Ненецкого автономного округа в информационно-телекоммуникационной сети "Интернет" по адресу: </w:t>
      </w:r>
      <w:r>
        <w:rPr>
          <w:color w:val="0000FF"/>
          <w:u w:val="single"/>
        </w:rPr>
        <w:fldChar w:fldCharType="begin"/>
      </w:r>
      <w:r>
        <w:rPr>
          <w:color w:val="0000FF"/>
          <w:u w:val="single"/>
        </w:rPr>
        <w:instrText>HYPERLINK "https://dfei.adm-nao.ru/tekushaya-deyatelnost/prosrochennaya-neuregulirovannaya-zadolzhennost/"</w:instrText>
      </w:r>
      <w:r>
        <w:rPr>
          <w:color w:val="0000FF"/>
          <w:u w:val="single"/>
        </w:rPr>
        <w:fldChar w:fldCharType="separate"/>
      </w:r>
      <w:r>
        <w:rPr>
          <w:color w:val="0000FF"/>
          <w:u w:val="single"/>
        </w:rPr>
        <w:t>https://dfei.adm-nao.ru/tekushaya-deyatelnost/prosrochennaya-neuregulirovannaya-zadolzhennost/</w:t>
      </w:r>
      <w:r>
        <w:rPr>
          <w:color w:val="0000FF"/>
          <w:u w:val="single"/>
        </w:rPr>
        <w:fldChar w:fldCharType="end"/>
      </w:r>
      <w:r>
        <w:t xml:space="preserve"> (в части наличия/отсутствия иной просроченной (неурегулированной) задолженности по денежным обязательствам перед Ненецким автономным округом), а также запрашиваются у главных распорядителей средств окружного бюджета;</w:t>
      </w:r>
    </w:p>
    <w:p w14:paraId="53000000">
      <w:pPr>
        <w:pStyle w:val="Style_3"/>
      </w:pPr>
      <w:r>
        <w:t xml:space="preserve">сведения, установленные </w:t>
      </w:r>
      <w:r>
        <w:rPr>
          <w:color w:val="0000FF"/>
          <w:u w:val="single"/>
        </w:rPr>
        <w:fldChar w:fldCharType="begin"/>
      </w:r>
      <w:r>
        <w:rPr>
          <w:color w:val="0000FF"/>
          <w:u w:val="single"/>
        </w:rPr>
        <w:instrText>HYPERLINK \l "anchor100108"</w:instrText>
      </w:r>
      <w:r>
        <w:rPr>
          <w:color w:val="0000FF"/>
          <w:u w:val="single"/>
        </w:rPr>
        <w:fldChar w:fldCharType="separate"/>
      </w:r>
      <w:r>
        <w:rPr>
          <w:color w:val="0000FF"/>
          <w:u w:val="single"/>
        </w:rPr>
        <w:t>подпунктом 8 пункта 10</w:t>
      </w:r>
      <w:r>
        <w:rPr>
          <w:color w:val="0000FF"/>
          <w:u w:val="single"/>
        </w:rPr>
        <w:fldChar w:fldCharType="end"/>
      </w:r>
      <w:r>
        <w:t xml:space="preserve"> настоящего Порядка,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r>
        <w:rPr>
          <w:color w:val="0000FF"/>
          <w:u w:val="single"/>
        </w:rPr>
        <w:fldChar w:fldCharType="begin"/>
      </w:r>
      <w:r>
        <w:rPr>
          <w:color w:val="0000FF"/>
          <w:u w:val="single"/>
        </w:rPr>
        <w:instrText>HYPERLINK "https://fedresurs.ru/search/entity"</w:instrText>
      </w:r>
      <w:r>
        <w:rPr>
          <w:color w:val="0000FF"/>
          <w:u w:val="single"/>
        </w:rPr>
        <w:fldChar w:fldCharType="separate"/>
      </w:r>
      <w:r>
        <w:rPr>
          <w:color w:val="0000FF"/>
          <w:u w:val="single"/>
        </w:rPr>
        <w:t>https://fedresurs.ru/search/entity</w:t>
      </w:r>
      <w:r>
        <w:rPr>
          <w:color w:val="0000FF"/>
          <w:u w:val="single"/>
        </w:rPr>
        <w:fldChar w:fldCharType="end"/>
      </w:r>
      <w:r>
        <w:t xml:space="preserve"> или на </w:t>
      </w:r>
      <w:r>
        <w:rPr>
          <w:color w:val="0000FF"/>
          <w:u w:val="single"/>
        </w:rPr>
        <w:fldChar w:fldCharType="begin"/>
      </w:r>
      <w:r>
        <w:rPr>
          <w:color w:val="0000FF"/>
          <w:u w:val="single"/>
        </w:rPr>
        <w:instrText>HYPERLINK "https://service.nalog.ru/rafp"</w:instrText>
      </w:r>
      <w:r>
        <w:rPr>
          <w:color w:val="0000FF"/>
          <w:u w:val="single"/>
        </w:rPr>
        <w:fldChar w:fldCharType="separate"/>
      </w:r>
      <w:r>
        <w:rPr>
          <w:color w:val="0000FF"/>
          <w:u w:val="single"/>
        </w:rPr>
        <w:t>официальном сайте</w:t>
      </w:r>
      <w:r>
        <w:rPr>
          <w:color w:val="0000FF"/>
          <w:u w:val="single"/>
        </w:rPr>
        <w:fldChar w:fldCharType="end"/>
      </w:r>
      <w:r>
        <w:t xml:space="preserve"> Федеральной налоговой службы России.</w:t>
      </w:r>
    </w:p>
    <w:p w14:paraId="54000000">
      <w:pPr>
        <w:pStyle w:val="Style_3"/>
      </w:pPr>
      <w:r>
        <w:t>15. Субсидированию подлежат затраты по доставке продовольственных товаров всеми видами транспорта в сельские населенные пункты Ненецкого автономного округа, за исключением расходов на транспортировку продовольственных товаров со складов, расположенных в пределах города Нарьян-Мара и рабочего поселка Искателей Ненецкого автономного округа, до мест загрузки авиационного, речного и морского транспорта.</w:t>
      </w:r>
    </w:p>
    <w:p w14:paraId="55000000">
      <w:pPr>
        <w:pStyle w:val="Style_3"/>
      </w:pPr>
      <w:bookmarkStart w:id="38" w:name="anchor100152"/>
      <w:bookmarkEnd w:id="38"/>
      <w:r>
        <w:t>Размер затрат, подлежащих возмещению, рассчитывается исходя из стоимости транспортировки продовольственных товаров, включенных в Перечень, в том числе:</w:t>
      </w:r>
    </w:p>
    <w:p w14:paraId="56000000">
      <w:pPr>
        <w:pStyle w:val="Style_3"/>
      </w:pPr>
      <w:r>
        <w:t xml:space="preserve">для получателей субсидий, имеющих право на вычет сумм налога на добавленную стоимость, предъявленных перевозчиком по договору на оказание услуг (выполнение работ) по доставке продовольственных товаров, в соответствии с </w:t>
      </w:r>
      <w:r>
        <w:rPr>
          <w:color w:val="0000FF"/>
          <w:u w:val="single"/>
        </w:rPr>
        <w:fldChar w:fldCharType="begin"/>
      </w:r>
      <w:r>
        <w:rPr>
          <w:color w:val="0000FF"/>
          <w:u w:val="single"/>
        </w:rPr>
        <w:instrText>HYPERLINK "https://internet.garant.ru/document/redirect/10900200/1"</w:instrText>
      </w:r>
      <w:r>
        <w:rPr>
          <w:color w:val="0000FF"/>
          <w:u w:val="single"/>
        </w:rPr>
        <w:fldChar w:fldCharType="separate"/>
      </w:r>
      <w:r>
        <w:rPr>
          <w:color w:val="0000FF"/>
          <w:u w:val="single"/>
        </w:rPr>
        <w:t>налоговым законодательством</w:t>
      </w:r>
      <w:r>
        <w:rPr>
          <w:color w:val="0000FF"/>
          <w:u w:val="single"/>
        </w:rPr>
        <w:fldChar w:fldCharType="end"/>
      </w:r>
      <w:r>
        <w:t>, - без учета налога на добавленную стоимость;</w:t>
      </w:r>
    </w:p>
    <w:p w14:paraId="57000000">
      <w:pPr>
        <w:pStyle w:val="Style_3"/>
      </w:pPr>
      <w:r>
        <w:t xml:space="preserve">для получателей субсидий, не имеющих права на вычет сумм налога на добавленную стоимость, предъявленных перевозчиком по договору на оказание услуг (выполнение работ) по доставке продовольственных товаров, в соответствии с </w:t>
      </w:r>
      <w:r>
        <w:rPr>
          <w:color w:val="0000FF"/>
          <w:u w:val="single"/>
        </w:rPr>
        <w:fldChar w:fldCharType="begin"/>
      </w:r>
      <w:r>
        <w:rPr>
          <w:color w:val="0000FF"/>
          <w:u w:val="single"/>
        </w:rPr>
        <w:instrText>HYPERLINK "https://internet.garant.ru/document/redirect/10900200/1"</w:instrText>
      </w:r>
      <w:r>
        <w:rPr>
          <w:color w:val="0000FF"/>
          <w:u w:val="single"/>
        </w:rPr>
        <w:fldChar w:fldCharType="separate"/>
      </w:r>
      <w:r>
        <w:rPr>
          <w:color w:val="0000FF"/>
          <w:u w:val="single"/>
        </w:rPr>
        <w:t>налоговым законодательством</w:t>
      </w:r>
      <w:r>
        <w:rPr>
          <w:color w:val="0000FF"/>
          <w:u w:val="single"/>
        </w:rPr>
        <w:fldChar w:fldCharType="end"/>
      </w:r>
      <w:r>
        <w:t>, - с учетом налога на добавленную стоимость.</w:t>
      </w:r>
    </w:p>
    <w:p w14:paraId="58000000">
      <w:pPr>
        <w:pStyle w:val="Style_3"/>
      </w:pPr>
      <w:r>
        <w:t xml:space="preserve">Проценты возмещения затрат на транспортировку продовольственных товаров установлены в размерах согласно </w:t>
      </w:r>
      <w:r>
        <w:rPr>
          <w:color w:val="0000FF"/>
          <w:u w:val="single"/>
        </w:rPr>
        <w:t>Приложению 1.1</w:t>
      </w:r>
      <w:r>
        <w:t xml:space="preserve"> к настоящему Порядку и определены исходя из количества жителей, зарегистрированных по месту жительства в населенном пункте и транспортной удаленности населенного пункта.</w:t>
      </w:r>
    </w:p>
    <w:p w14:paraId="59000000">
      <w:pPr>
        <w:pStyle w:val="Style_3"/>
      </w:pPr>
      <w:r>
        <w:t xml:space="preserve">Размер затрат, подлежащих возмещению в связи с доставкой продовольственных товаров наземным транспортом в сельские населенные пункты Ненецкого автономного округа, не может превышать размер максимальных затрат, определенных согласно </w:t>
      </w:r>
      <w:r>
        <w:rPr>
          <w:color w:val="0000FF"/>
          <w:u w:val="single"/>
        </w:rPr>
        <w:fldChar w:fldCharType="begin"/>
      </w:r>
      <w:r>
        <w:rPr>
          <w:color w:val="0000FF"/>
          <w:u w:val="single"/>
        </w:rPr>
        <w:instrText>HYPERLINK \l "anchor2000"</w:instrText>
      </w:r>
      <w:r>
        <w:rPr>
          <w:color w:val="0000FF"/>
          <w:u w:val="single"/>
        </w:rPr>
        <w:fldChar w:fldCharType="separate"/>
      </w:r>
      <w:r>
        <w:rPr>
          <w:color w:val="0000FF"/>
          <w:u w:val="single"/>
        </w:rPr>
        <w:t>Приложению 2</w:t>
      </w:r>
      <w:r>
        <w:rPr>
          <w:color w:val="0000FF"/>
          <w:u w:val="single"/>
        </w:rPr>
        <w:fldChar w:fldCharType="end"/>
      </w:r>
      <w:r>
        <w:t xml:space="preserve"> к настоящему Порядку, за исключением доставки товаров в пределах сельского населенного пункта от места разгрузки авиационным, речным и морским транспортом до места назначения.</w:t>
      </w:r>
    </w:p>
    <w:p w14:paraId="5A000000">
      <w:pPr>
        <w:pStyle w:val="Style_3"/>
      </w:pPr>
      <w:r>
        <w:t xml:space="preserve">16. Результат предоставления субсидии - достигнут объем доставленных в сельские населенные пункты Ненецкого автономного округа продовольственных товаров согласно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Перечню</w:t>
      </w:r>
      <w:r>
        <w:rPr>
          <w:color w:val="0000FF"/>
          <w:u w:val="single"/>
        </w:rPr>
        <w:fldChar w:fldCharType="end"/>
      </w:r>
      <w:r>
        <w:t>.</w:t>
      </w:r>
    </w:p>
    <w:p w14:paraId="5B000000">
      <w:pPr>
        <w:pStyle w:val="Style_3"/>
      </w:pPr>
      <w:bookmarkStart w:id="39" w:name="anchor100162"/>
      <w:bookmarkEnd w:id="39"/>
      <w:r>
        <w:t>Тип результата предоставления субсидии - оказание услуг (выполнение работ).</w:t>
      </w:r>
    </w:p>
    <w:p w14:paraId="5C000000">
      <w:pPr>
        <w:pStyle w:val="Style_3"/>
      </w:pPr>
      <w:r>
        <w:t>Конкретное значение результата предоставления субсидии устанавливается Департаментом в соглашении о предоставлении субсидии (далее - Соглашение).</w:t>
      </w:r>
    </w:p>
    <w:p w14:paraId="5D000000">
      <w:pPr>
        <w:pStyle w:val="Style_3"/>
      </w:pPr>
      <w:bookmarkStart w:id="40" w:name="anchor10017"/>
      <w:bookmarkEnd w:id="40"/>
      <w:r>
        <w:t xml:space="preserve">17. В случае невозможности предоставления субсидий в текущем финансовом году в связи с недостаточностью лимитов бюджетных обязательств, доведенных Департаменту на цели, указанные в </w:t>
      </w:r>
      <w:r>
        <w:rPr>
          <w:color w:val="0000FF"/>
          <w:u w:val="single"/>
        </w:rPr>
        <w:fldChar w:fldCharType="begin"/>
      </w:r>
      <w:r>
        <w:rPr>
          <w:color w:val="0000FF"/>
          <w:u w:val="single"/>
        </w:rPr>
        <w:instrText>HYPERLINK \l "anchor10003"</w:instrText>
      </w:r>
      <w:r>
        <w:rPr>
          <w:color w:val="0000FF"/>
          <w:u w:val="single"/>
        </w:rPr>
        <w:fldChar w:fldCharType="separate"/>
      </w:r>
      <w:r>
        <w:rPr>
          <w:color w:val="0000FF"/>
          <w:u w:val="single"/>
        </w:rPr>
        <w:t>пункте 3</w:t>
      </w:r>
      <w:r>
        <w:rPr>
          <w:color w:val="0000FF"/>
          <w:u w:val="single"/>
        </w:rPr>
        <w:fldChar w:fldCharType="end"/>
      </w:r>
      <w:r>
        <w:t xml:space="preserve"> настоящего Порядка, перечисление средств субсидии получателю субсидии, соответствующему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осуществляется в очередном финансовом году без повторного прохождения отбора в течение десяти рабочих дней со дня доведения лимитов бюджетных обязательств Департаменту.</w:t>
      </w:r>
    </w:p>
    <w:p w14:paraId="5E000000">
      <w:pPr>
        <w:pStyle w:val="Style_2"/>
        <w:ind/>
        <w:outlineLvl w:val="0"/>
      </w:pPr>
      <w:bookmarkStart w:id="41" w:name="anchor220"/>
      <w:bookmarkEnd w:id="41"/>
      <w:r>
        <w:t>Глава 2. Порядок проведения отбора, случаи отмены проведения отбора и случаи признания отбора несостоявшимся</w:t>
      </w:r>
    </w:p>
    <w:p w14:paraId="5F000000">
      <w:pPr>
        <w:pStyle w:val="Style_3"/>
      </w:pPr>
      <w:bookmarkStart w:id="42" w:name="anchor10018"/>
      <w:bookmarkEnd w:id="42"/>
      <w:r>
        <w:t>18. Отбор получателей субсидий осуществляется в системе "Электронный бюджет".</w:t>
      </w:r>
    </w:p>
    <w:p w14:paraId="60000000">
      <w:pPr>
        <w:pStyle w:val="Style_3"/>
      </w:pPr>
      <w:r>
        <w:t>Взаимодействие Департамента с участниками отбора в рамках проведения отбора получателей субсидий осуществляется с использованием документов в электронной форме в системе "Электронный бюджет".</w:t>
      </w:r>
    </w:p>
    <w:p w14:paraId="61000000">
      <w:pPr>
        <w:pStyle w:val="Style_3"/>
      </w:pPr>
      <w:r>
        <w:t>В целях обеспечения проведения отбора в системе "Электронный бюджет" участник отбора должен обеспечить доступ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2000000">
      <w:pPr>
        <w:pStyle w:val="Style_3"/>
      </w:pPr>
      <w:bookmarkStart w:id="43" w:name="anchor10019"/>
      <w:bookmarkEnd w:id="43"/>
      <w:r>
        <w:t>19. Способ проведения отбора получателей субсидий - запрос предложений на основании заявок, направленных участниками отбора для участия в отборе (далее - отбор).</w:t>
      </w:r>
    </w:p>
    <w:p w14:paraId="63000000">
      <w:pPr>
        <w:pStyle w:val="Style_3"/>
      </w:pPr>
      <w:bookmarkStart w:id="44" w:name="anchor10020"/>
      <w:bookmarkEnd w:id="44"/>
      <w:r>
        <w:t xml:space="preserve">20. В целях проведения отбора Департамент не позднее чем за два рабочих дня до даты начала подачи заявок на отбор размещает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а также на </w:t>
      </w:r>
      <w:r>
        <w:rPr>
          <w:color w:val="0000FF"/>
          <w:u w:val="single"/>
        </w:rPr>
        <w:fldChar w:fldCharType="begin"/>
      </w:r>
      <w:r>
        <w:rPr>
          <w:color w:val="0000FF"/>
          <w:u w:val="single"/>
        </w:rPr>
        <w:instrText>HYPERLINK "http://dprea.adm-nao.ru"</w:instrText>
      </w:r>
      <w:r>
        <w:rPr>
          <w:color w:val="0000FF"/>
          <w:u w:val="single"/>
        </w:rPr>
        <w:fldChar w:fldCharType="separate"/>
      </w:r>
      <w:r>
        <w:rPr>
          <w:color w:val="0000FF"/>
          <w:u w:val="single"/>
        </w:rPr>
        <w:t>официальном сайте</w:t>
      </w:r>
      <w:r>
        <w:rPr>
          <w:color w:val="0000FF"/>
          <w:u w:val="single"/>
        </w:rPr>
        <w:fldChar w:fldCharType="end"/>
      </w:r>
      <w:r>
        <w:t xml:space="preserve"> Департамента в информационно-телекоммуникационной сети "Интернет" объявление о проведении отбора, предусматривающее:</w:t>
      </w:r>
    </w:p>
    <w:p w14:paraId="64000000">
      <w:pPr>
        <w:pStyle w:val="Style_3"/>
      </w:pPr>
      <w:r>
        <w:t>1) сроки проведения отбора;</w:t>
      </w:r>
    </w:p>
    <w:p w14:paraId="65000000">
      <w:pPr>
        <w:pStyle w:val="Style_3"/>
      </w:pPr>
      <w:r>
        <w:t>2)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 - в случае если получатель субсидии определяется по результатам отбора и отсутствует информация о количестве получателей субсидий, соответствующих критериям отбора;</w:t>
      </w:r>
    </w:p>
    <w:p w14:paraId="66000000">
      <w:pPr>
        <w:pStyle w:val="Style_3"/>
      </w:pPr>
      <w:r>
        <w:t>3) наименование, место нахождения, почтовый адрес, адрес электронной почты Департамента, номер контактного телефона должностного лица Департамента;</w:t>
      </w:r>
    </w:p>
    <w:p w14:paraId="67000000">
      <w:pPr>
        <w:pStyle w:val="Style_3"/>
      </w:pPr>
      <w:r>
        <w:t xml:space="preserve">4) результат предоставления субсидии, установленный </w:t>
      </w:r>
      <w:r>
        <w:rPr>
          <w:color w:val="0000FF"/>
          <w:u w:val="single"/>
        </w:rPr>
        <w:t>пунктом 16</w:t>
      </w:r>
      <w:r>
        <w:t xml:space="preserve"> настоящего Порядка;</w:t>
      </w:r>
    </w:p>
    <w:p w14:paraId="68000000">
      <w:pPr>
        <w:pStyle w:val="Style_3"/>
      </w:pPr>
      <w:r>
        <w:t>5) доменное имя и (или) указатели страниц системы "Электронный бюджет" в информационно-телекоммуникационной сети "Интернет";</w:t>
      </w:r>
    </w:p>
    <w:p w14:paraId="69000000">
      <w:pPr>
        <w:pStyle w:val="Style_3"/>
      </w:pPr>
      <w:r>
        <w:t>6) критерии отбора;</w:t>
      </w:r>
    </w:p>
    <w:p w14:paraId="6A000000">
      <w:pPr>
        <w:pStyle w:val="Style_3"/>
      </w:pPr>
      <w:r>
        <w:t xml:space="preserve">7) требования к участникам отбора, определенные в соответствии с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которым участник отбора должен соответствовать на дату подачи заявки, и к перечню документов, представляемых участниками отбора в соответствии с </w:t>
      </w:r>
      <w:r>
        <w:rPr>
          <w:color w:val="0000FF"/>
          <w:u w:val="single"/>
        </w:rPr>
        <w:fldChar w:fldCharType="begin"/>
      </w:r>
      <w:r>
        <w:rPr>
          <w:color w:val="0000FF"/>
          <w:u w:val="single"/>
        </w:rPr>
        <w:instrText>HYPERLINK \l "anchor10013"</w:instrText>
      </w:r>
      <w:r>
        <w:rPr>
          <w:color w:val="0000FF"/>
          <w:u w:val="single"/>
        </w:rPr>
        <w:fldChar w:fldCharType="separate"/>
      </w:r>
      <w:r>
        <w:rPr>
          <w:color w:val="0000FF"/>
          <w:u w:val="single"/>
        </w:rPr>
        <w:t>пунктом 13</w:t>
      </w:r>
      <w:r>
        <w:rPr>
          <w:color w:val="0000FF"/>
          <w:u w:val="single"/>
        </w:rPr>
        <w:fldChar w:fldCharType="end"/>
      </w:r>
      <w:r>
        <w:t xml:space="preserve"> настоящего Порядка;</w:t>
      </w:r>
    </w:p>
    <w:p w14:paraId="6B000000">
      <w:pPr>
        <w:pStyle w:val="Style_3"/>
      </w:pPr>
      <w:r>
        <w:t>8) порядок подачи участниками отбора заявок и требования, предъявляемые к форме и содержанию заявок;</w:t>
      </w:r>
    </w:p>
    <w:p w14:paraId="6C000000">
      <w:pPr>
        <w:pStyle w:val="Style_3"/>
      </w:pPr>
      <w:r>
        <w:t>9) порядок отзыва заявок, порядок их возврата, определяющий в том числе основания для возврата заявок, порядок внесения изменений в заявки;</w:t>
      </w:r>
    </w:p>
    <w:p w14:paraId="6D000000">
      <w:pPr>
        <w:pStyle w:val="Style_3"/>
      </w:pPr>
      <w:r>
        <w:t>10) правила рассмотрения заявок в соответствии с настоящим Порядком;</w:t>
      </w:r>
    </w:p>
    <w:p w14:paraId="6E000000">
      <w:pPr>
        <w:pStyle w:val="Style_3"/>
      </w:pPr>
      <w:r>
        <w:t>11) порядок возврата заявок на доработку;</w:t>
      </w:r>
    </w:p>
    <w:p w14:paraId="6F000000">
      <w:pPr>
        <w:pStyle w:val="Style_3"/>
      </w:pPr>
      <w:r>
        <w:t>12) порядок отклонения заявок, а также информацию об основаниях их отклонения;</w:t>
      </w:r>
    </w:p>
    <w:p w14:paraId="70000000">
      <w:pPr>
        <w:pStyle w:val="Style_3"/>
      </w:pPr>
      <w:bookmarkStart w:id="45" w:name="anchor1002013"/>
      <w:bookmarkEnd w:id="45"/>
      <w:r>
        <w:t>13) объем распределяемой субсидии в рамках отбора, порядок расчета размера субсидии, правила распределения субсидий по результатам отбора;</w:t>
      </w:r>
    </w:p>
    <w:p w14:paraId="71000000">
      <w:pPr>
        <w:pStyle w:val="Style_3"/>
      </w:pPr>
      <w: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2000000">
      <w:pPr>
        <w:pStyle w:val="Style_3"/>
      </w:pPr>
      <w:r>
        <w:t>15) срок, в течение которого победитель (победители) отбора должен подписать Соглашение;</w:t>
      </w:r>
    </w:p>
    <w:p w14:paraId="73000000">
      <w:pPr>
        <w:pStyle w:val="Style_3"/>
      </w:pPr>
      <w:r>
        <w:t>16) условия признания победителя (победителей) отбора уклонившимся от заключения Соглашения;</w:t>
      </w:r>
    </w:p>
    <w:p w14:paraId="74000000">
      <w:pPr>
        <w:pStyle w:val="Style_3"/>
      </w:pPr>
      <w:r>
        <w:t xml:space="preserve">17) сроки размещения протокола подведения итогов отбора (документа об итогах проведения отбора)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а также на </w:t>
      </w:r>
      <w:r>
        <w:rPr>
          <w:color w:val="0000FF"/>
          <w:u w:val="single"/>
        </w:rPr>
        <w:fldChar w:fldCharType="begin"/>
      </w:r>
      <w:r>
        <w:rPr>
          <w:color w:val="0000FF"/>
          <w:u w:val="single"/>
        </w:rPr>
        <w:instrText>HYPERLINK "http://dprea.adm-nao.ru"</w:instrText>
      </w:r>
      <w:r>
        <w:rPr>
          <w:color w:val="0000FF"/>
          <w:u w:val="single"/>
        </w:rPr>
        <w:fldChar w:fldCharType="separate"/>
      </w:r>
      <w:r>
        <w:rPr>
          <w:color w:val="0000FF"/>
          <w:u w:val="single"/>
        </w:rPr>
        <w:t>официальном сайте</w:t>
      </w:r>
      <w:r>
        <w:rPr>
          <w:color w:val="0000FF"/>
          <w:u w:val="single"/>
        </w:rPr>
        <w:fldChar w:fldCharType="end"/>
      </w:r>
      <w:r>
        <w:t xml:space="preserve"> Департамента в информационно-телекоммуникационной сети "Интернет", которые не могут быть позднее четырнадцатого календарного дня, следующего за днем определения победителя отбора.</w:t>
      </w:r>
    </w:p>
    <w:p w14:paraId="75000000">
      <w:pPr>
        <w:pStyle w:val="Style_3"/>
      </w:pPr>
      <w:bookmarkStart w:id="46" w:name="anchor10021"/>
      <w:bookmarkEnd w:id="46"/>
      <w:r>
        <w:t>21. Не позднее даты окончания приема заявок участников отбора в объявление о проведении отбора могут быть внесены изменения при соблюдении следующих условий:</w:t>
      </w:r>
    </w:p>
    <w:p w14:paraId="76000000">
      <w:pPr>
        <w:pStyle w:val="Style_3"/>
      </w:pPr>
      <w:r>
        <w:t>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77000000">
      <w:pPr>
        <w:pStyle w:val="Style_3"/>
      </w:pPr>
      <w:r>
        <w:t>2) при внесении изменений в объявление о проведении отбора изменение способа отбора не допускается;</w:t>
      </w:r>
    </w:p>
    <w:p w14:paraId="78000000">
      <w:pPr>
        <w:pStyle w:val="Style_3"/>
      </w:pPr>
      <w:r>
        <w:t>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79000000">
      <w:pPr>
        <w:pStyle w:val="Style_3"/>
      </w:pPr>
      <w:r>
        <w:t>4)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7A000000">
      <w:pPr>
        <w:pStyle w:val="Style_3"/>
      </w:pPr>
      <w:bookmarkStart w:id="47" w:name="anchor10022"/>
      <w:bookmarkEnd w:id="47"/>
      <w:r>
        <w:t>22. Не позднее чем за один рабочий день до даты окончания срока подачи заявок участниками отбора проведение отбора может быть отменено по решению Департамента в случае внесения изменений в нормативные правовые акты, влекущие изменение порядка предоставления субсидий по данному направлению.</w:t>
      </w:r>
    </w:p>
    <w:p w14:paraId="7B000000">
      <w:pPr>
        <w:pStyle w:val="Style_3"/>
      </w:pPr>
      <w:r>
        <w:t xml:space="preserve">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r>
        <w:rPr>
          <w:color w:val="0000FF"/>
          <w:u w:val="single"/>
        </w:rPr>
        <w:fldChar w:fldCharType="begin"/>
      </w:r>
      <w:r>
        <w:rPr>
          <w:color w:val="0000FF"/>
          <w:u w:val="single"/>
        </w:rPr>
        <w:instrText>HYPERLINK "https://internet.garant.ru/document/redirect/12184522/54"</w:instrText>
      </w:r>
      <w:r>
        <w:rPr>
          <w:color w:val="0000FF"/>
          <w:u w:val="single"/>
        </w:rPr>
        <w:fldChar w:fldCharType="separate"/>
      </w:r>
      <w:r>
        <w:rPr>
          <w:color w:val="0000FF"/>
          <w:u w:val="single"/>
        </w:rPr>
        <w:t>квалифицированной электронной подписью</w:t>
      </w:r>
      <w:r>
        <w:rPr>
          <w:color w:val="0000FF"/>
          <w:u w:val="single"/>
        </w:rPr>
        <w:fldChar w:fldCharType="end"/>
      </w:r>
      <w:r>
        <w:t xml:space="preserve"> руководителя Департамента (уполномоченным лицом), размещается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и содержит информацию о причинах отмены отбора получателей субсидий.</w:t>
      </w:r>
    </w:p>
    <w:p w14:paraId="7C000000">
      <w:pPr>
        <w:pStyle w:val="Style_3"/>
      </w:pPr>
      <w: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w:t>
      </w:r>
    </w:p>
    <w:p w14:paraId="7D000000">
      <w:pPr>
        <w:pStyle w:val="Style_3"/>
      </w:pPr>
      <w:r>
        <w:t xml:space="preserve">Отбор получателей субсидий считается отмененным со дня размещения объявления о его отмене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w:t>
      </w:r>
    </w:p>
    <w:p w14:paraId="7E000000">
      <w:pPr>
        <w:pStyle w:val="Style_3"/>
      </w:pPr>
      <w:bookmarkStart w:id="48" w:name="anchor10023"/>
      <w:bookmarkEnd w:id="48"/>
      <w:r>
        <w:t>23. Отбор получателей субсидий (участников отбора) признается несостоявшимся в следующих случаях:</w:t>
      </w:r>
    </w:p>
    <w:p w14:paraId="7F000000">
      <w:pPr>
        <w:pStyle w:val="Style_3"/>
      </w:pPr>
      <w:r>
        <w:t>1) по окончании срока подачи заявок не подано ни одной заявки;</w:t>
      </w:r>
    </w:p>
    <w:p w14:paraId="80000000">
      <w:pPr>
        <w:pStyle w:val="Style_3"/>
      </w:pPr>
      <w:r>
        <w:t>2) все заявки отозваны или отклонены.</w:t>
      </w:r>
    </w:p>
    <w:p w14:paraId="81000000">
      <w:pPr>
        <w:pStyle w:val="Style_2"/>
        <w:ind/>
        <w:outlineLvl w:val="0"/>
      </w:pPr>
      <w:bookmarkStart w:id="49" w:name="anchor230"/>
      <w:bookmarkEnd w:id="49"/>
      <w:r>
        <w:t>Глава 3. Порядок формирования и подачи заявок участниками отбора, внесения изменений в заявки, разъяснения положений объявления о проведении отбора</w:t>
      </w:r>
    </w:p>
    <w:p w14:paraId="82000000">
      <w:pPr>
        <w:pStyle w:val="Style_3"/>
      </w:pPr>
    </w:p>
    <w:p w14:paraId="83000000">
      <w:pPr>
        <w:pStyle w:val="Style_3"/>
      </w:pPr>
      <w:bookmarkStart w:id="50" w:name="anchor10024"/>
      <w:bookmarkEnd w:id="50"/>
      <w:r>
        <w:t>24.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с представлением в системе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84000000">
      <w:pPr>
        <w:pStyle w:val="Style_3"/>
      </w:pPr>
      <w:bookmarkStart w:id="51" w:name="anchor10025"/>
      <w:bookmarkEnd w:id="51"/>
      <w:r>
        <w:t>25. Порядок подписания заявки:</w:t>
      </w:r>
    </w:p>
    <w:p w14:paraId="85000000">
      <w:pPr>
        <w:pStyle w:val="Style_3"/>
      </w:pPr>
      <w:r>
        <w:t xml:space="preserve">1) усиленной </w:t>
      </w:r>
      <w:r>
        <w:rPr>
          <w:color w:val="0000FF"/>
          <w:u w:val="single"/>
        </w:rPr>
        <w:fldChar w:fldCharType="begin"/>
      </w:r>
      <w:r>
        <w:rPr>
          <w:color w:val="0000FF"/>
          <w:u w:val="single"/>
        </w:rPr>
        <w:instrText>HYPERLINK "https://internet.garant.ru/document/redirect/12184522/54"</w:instrText>
      </w:r>
      <w:r>
        <w:rPr>
          <w:color w:val="0000FF"/>
          <w:u w:val="single"/>
        </w:rPr>
        <w:fldChar w:fldCharType="separate"/>
      </w:r>
      <w:r>
        <w:rPr>
          <w:color w:val="0000FF"/>
          <w:u w:val="single"/>
        </w:rPr>
        <w:t>квалифицированной электронной подписью</w:t>
      </w:r>
      <w:r>
        <w:rPr>
          <w:color w:val="0000FF"/>
          <w:u w:val="single"/>
        </w:rPr>
        <w:fldChar w:fldCharType="end"/>
      </w:r>
      <w:r>
        <w:t xml:space="preserve"> руководителя участника отбора или уполномоченного лица (для юридических лиц и индивидуальных предпринимателей);</w:t>
      </w:r>
    </w:p>
    <w:p w14:paraId="86000000">
      <w:pPr>
        <w:pStyle w:val="Style_3"/>
      </w:pPr>
      <w:r>
        <w:t xml:space="preserve">2) </w:t>
      </w:r>
      <w:r>
        <w:rPr>
          <w:color w:val="0000FF"/>
          <w:u w:val="single"/>
        </w:rPr>
        <w:fldChar w:fldCharType="begin"/>
      </w:r>
      <w:r>
        <w:rPr>
          <w:color w:val="0000FF"/>
          <w:u w:val="single"/>
        </w:rPr>
        <w:instrText>HYPERLINK "https://internet.garant.ru/document/redirect/12184522/52"</w:instrText>
      </w:r>
      <w:r>
        <w:rPr>
          <w:color w:val="0000FF"/>
          <w:u w:val="single"/>
        </w:rPr>
        <w:fldChar w:fldCharType="separate"/>
      </w:r>
      <w:r>
        <w:rPr>
          <w:color w:val="0000FF"/>
          <w:u w:val="single"/>
        </w:rPr>
        <w:t>простой электронной подписью</w:t>
      </w:r>
      <w:r>
        <w:rPr>
          <w:color w:val="0000FF"/>
          <w:u w:val="single"/>
        </w:rPr>
        <w:fldChar w:fldCharType="end"/>
      </w:r>
      <w:r>
        <w:t xml:space="preserve">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14:paraId="87000000">
      <w:pPr>
        <w:pStyle w:val="Style_3"/>
      </w:pPr>
      <w:bookmarkStart w:id="52" w:name="anchor10026"/>
      <w:bookmarkEnd w:id="52"/>
      <w:r>
        <w:t>26. Датой представления заявки считается день подписания участником отбора заявки с присвоением ей регистрационного номера в системе "Электронный бюджет".</w:t>
      </w:r>
    </w:p>
    <w:p w14:paraId="88000000">
      <w:pPr>
        <w:pStyle w:val="Style_3"/>
      </w:pPr>
      <w: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89000000">
      <w:pPr>
        <w:pStyle w:val="Style_3"/>
      </w:pPr>
      <w:bookmarkStart w:id="53" w:name="anchor10027"/>
      <w:bookmarkEnd w:id="53"/>
      <w:r>
        <w:t>27. Участник отбора в срок, указанный в объявлении о проведении отбора, представляет в Департамент с использованием системы "Электронный бюджет" следующие документы:</w:t>
      </w:r>
    </w:p>
    <w:p w14:paraId="8A000000">
      <w:pPr>
        <w:pStyle w:val="Style_3"/>
      </w:pPr>
      <w:r>
        <w:t xml:space="preserve">1) заявку, оформленную в соответствии с требованиями, установленными </w:t>
      </w:r>
      <w:r>
        <w:rPr>
          <w:color w:val="0000FF"/>
          <w:u w:val="single"/>
        </w:rPr>
        <w:fldChar w:fldCharType="begin"/>
      </w:r>
      <w:r>
        <w:rPr>
          <w:color w:val="0000FF"/>
          <w:u w:val="single"/>
        </w:rPr>
        <w:instrText>HYPERLINK \l "anchor10024"</w:instrText>
      </w:r>
      <w:r>
        <w:rPr>
          <w:color w:val="0000FF"/>
          <w:u w:val="single"/>
        </w:rPr>
        <w:fldChar w:fldCharType="separate"/>
      </w:r>
      <w:r>
        <w:rPr>
          <w:color w:val="0000FF"/>
          <w:u w:val="single"/>
        </w:rPr>
        <w:t>пунктами 24-26</w:t>
      </w:r>
      <w:r>
        <w:rPr>
          <w:color w:val="0000FF"/>
          <w:u w:val="single"/>
        </w:rPr>
        <w:fldChar w:fldCharType="end"/>
      </w:r>
      <w:r>
        <w:t xml:space="preserve"> настоящего Порядка, которая должна содержать:</w:t>
      </w:r>
    </w:p>
    <w:p w14:paraId="8B000000">
      <w:pPr>
        <w:pStyle w:val="Style_3"/>
      </w:pPr>
      <w:r>
        <w:t>информацию об участнике отбора;</w:t>
      </w:r>
    </w:p>
    <w:p w14:paraId="8C000000">
      <w:pPr>
        <w:pStyle w:val="Style_3"/>
      </w:pPr>
      <w:r>
        <w:t xml:space="preserve">документы, установленные </w:t>
      </w:r>
      <w:r>
        <w:rPr>
          <w:color w:val="0000FF"/>
          <w:u w:val="single"/>
        </w:rPr>
        <w:t>пунктом 9</w:t>
      </w:r>
      <w:r>
        <w:t xml:space="preserve"> настоящего Порядка;</w:t>
      </w:r>
    </w:p>
    <w:p w14:paraId="8D000000">
      <w:pPr>
        <w:pStyle w:val="Style_3"/>
      </w:pPr>
      <w:r>
        <w:t xml:space="preserve">документы, установленные </w:t>
      </w:r>
      <w:r>
        <w:rPr>
          <w:color w:val="0000FF"/>
          <w:u w:val="single"/>
        </w:rPr>
        <w:fldChar w:fldCharType="begin"/>
      </w:r>
      <w:r>
        <w:rPr>
          <w:color w:val="0000FF"/>
          <w:u w:val="single"/>
        </w:rPr>
        <w:instrText>HYPERLINK \l "anchor10013"</w:instrText>
      </w:r>
      <w:r>
        <w:rPr>
          <w:color w:val="0000FF"/>
          <w:u w:val="single"/>
        </w:rPr>
        <w:fldChar w:fldCharType="separate"/>
      </w:r>
      <w:r>
        <w:rPr>
          <w:color w:val="0000FF"/>
          <w:u w:val="single"/>
        </w:rPr>
        <w:t>пунктом 13</w:t>
      </w:r>
      <w:r>
        <w:rPr>
          <w:color w:val="0000FF"/>
          <w:u w:val="single"/>
        </w:rPr>
        <w:fldChar w:fldCharType="end"/>
      </w:r>
      <w:r>
        <w:t xml:space="preserve"> настоящего Порядка (представляются по желанию участника отбора);</w:t>
      </w:r>
    </w:p>
    <w:p w14:paraId="8E000000">
      <w:pPr>
        <w:pStyle w:val="Style_3"/>
      </w:pPr>
      <w:r>
        <w:t>предлагаемые участником отбора значения результата предоставления субсидии и размер запрашиваемой субсидии;</w:t>
      </w:r>
    </w:p>
    <w:p w14:paraId="8F000000">
      <w:pPr>
        <w:pStyle w:val="Style_3"/>
      </w:pPr>
      <w:r>
        <w:t>2) доверенность, удостоверяющую полномочия представителя участника отбора на подписание и (или) представление заявки для участия в отборе (в случае подписания и (или) представления заявки представителем получателя субсидии);</w:t>
      </w:r>
    </w:p>
    <w:p w14:paraId="90000000">
      <w:pPr>
        <w:pStyle w:val="Style_3"/>
      </w:pPr>
      <w:r>
        <w:t>3) информацию, представляемую при проведении отбора в процессе документооборота, -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14:paraId="91000000">
      <w:pPr>
        <w:pStyle w:val="Style_3"/>
      </w:pPr>
      <w:bookmarkStart w:id="54" w:name="anchor10028"/>
      <w:bookmarkEnd w:id="54"/>
      <w:r>
        <w:t xml:space="preserve">28. Участник отбора должен соответствовать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по состоянию на даты рассмотрения заявки и заключения Соглашения.</w:t>
      </w:r>
    </w:p>
    <w:p w14:paraId="92000000">
      <w:pPr>
        <w:pStyle w:val="Style_3"/>
      </w:pPr>
      <w:bookmarkStart w:id="55" w:name="anchor10029"/>
      <w:bookmarkEnd w:id="55"/>
      <w:r>
        <w:t>29. Участник отбора в период срока подачи заявок вправе обратиться в Департамент с письменным заявлением о разъяснении положений объявления о проведении отбора.</w:t>
      </w:r>
    </w:p>
    <w:p w14:paraId="93000000">
      <w:pPr>
        <w:pStyle w:val="Style_3"/>
      </w:pPr>
      <w:r>
        <w:t>Департамент направляет письменные разъяснения такому участнику отбора в течение трех рабочих дней со дня регистрации заявления о разъяснении положений объявления о проведении отбора.</w:t>
      </w:r>
    </w:p>
    <w:p w14:paraId="94000000">
      <w:pPr>
        <w:pStyle w:val="Style_3"/>
      </w:pPr>
      <w:r>
        <w:t>Разъяснение положений объявления о проведении отбора осуществляется указанными в объявлении о проведении отбора сотрудниками Департамента по номерам телефонов, указанным в объявлении о проведении отбора, со дня размещения объявления о проведении отбора до дня окончания приема заявок на участие в отборе включительно.</w:t>
      </w:r>
    </w:p>
    <w:p w14:paraId="95000000">
      <w:pPr>
        <w:pStyle w:val="Style_3"/>
      </w:pPr>
      <w:bookmarkStart w:id="56" w:name="anchor10030"/>
      <w:bookmarkEnd w:id="56"/>
      <w:r>
        <w:t>30. Участник отбора вправе в любое время до даты окончания приема заявок отозвать поданную заявку, направив соответствующее уведомление в системе "Электронный бюджет".</w:t>
      </w:r>
    </w:p>
    <w:p w14:paraId="96000000">
      <w:pPr>
        <w:pStyle w:val="Style_3"/>
      </w:pPr>
      <w:r>
        <w:t>Основанием для возврата заявки является поступление в течение срока проведения отбора от участника отбора в системе "Электронный бюджет" уведомления об отзыве заявки.</w:t>
      </w:r>
    </w:p>
    <w:p w14:paraId="97000000">
      <w:pPr>
        <w:pStyle w:val="Style_3"/>
      </w:pPr>
      <w:r>
        <w:t>Участник отбора вправе в любое время до даты окончания приема заявок забрать заявку на доработку, направив соответствующее уведомление в системе "Электронный бюджет".</w:t>
      </w:r>
    </w:p>
    <w:p w14:paraId="98000000">
      <w:pPr>
        <w:pStyle w:val="Style_3"/>
      </w:pPr>
      <w:r>
        <w:t>Внесение изменений в заявку осуществляется путем отзыва поданной заявки и подачи доработанной заявки.</w:t>
      </w:r>
    </w:p>
    <w:p w14:paraId="99000000">
      <w:pPr>
        <w:pStyle w:val="Style_3"/>
      </w:pPr>
      <w:bookmarkStart w:id="57" w:name="anchor10031"/>
      <w:bookmarkEnd w:id="57"/>
      <w:r>
        <w:t>31.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9A000000">
      <w:pPr>
        <w:pStyle w:val="Style_2"/>
        <w:ind/>
        <w:outlineLvl w:val="0"/>
      </w:pPr>
      <w:bookmarkStart w:id="58" w:name="anchor240"/>
      <w:bookmarkEnd w:id="58"/>
      <w:r>
        <w:t>Глава 4. Порядок рассмотрения заявок, определение победителей отбора</w:t>
      </w:r>
    </w:p>
    <w:p w14:paraId="9B000000">
      <w:pPr>
        <w:pStyle w:val="Style_3"/>
      </w:pPr>
      <w:bookmarkStart w:id="59" w:name="anchor10032"/>
      <w:bookmarkEnd w:id="59"/>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Департаменту открывается доступ к заявкам.</w:t>
      </w:r>
    </w:p>
    <w:p w14:paraId="9C000000">
      <w:pPr>
        <w:pStyle w:val="Style_3"/>
      </w:pPr>
      <w:bookmarkStart w:id="60" w:name="anchor10033"/>
      <w:bookmarkEnd w:id="60"/>
      <w:r>
        <w:t>33. Департамент не позднее одного рабочего дня, следующего за днем окончания приема заявок, установленного в объявлении о проведении отбора, формирует протокол вскрытия заявок, содержащий следующую информацию о поступивших для участия в отборе получателей субсидий заявках:</w:t>
      </w:r>
    </w:p>
    <w:p w14:paraId="9D000000">
      <w:pPr>
        <w:pStyle w:val="Style_3"/>
      </w:pPr>
      <w:r>
        <w:t>1) регистрационный номер заявки;</w:t>
      </w:r>
    </w:p>
    <w:p w14:paraId="9E000000">
      <w:pPr>
        <w:pStyle w:val="Style_3"/>
      </w:pPr>
      <w:r>
        <w:t>2) дата и время поступления заявки;</w:t>
      </w:r>
    </w:p>
    <w:p w14:paraId="9F000000">
      <w:pPr>
        <w:pStyle w:val="Style_3"/>
      </w:pPr>
      <w:r>
        <w:t>3) полное наименование участника отбора получателей субсидий (для юридических лиц) или фамилия, имя, отчество (при наличии) (для физических лиц, в том числе индивидуальных предпринимателей);</w:t>
      </w:r>
    </w:p>
    <w:p w14:paraId="A0000000">
      <w:pPr>
        <w:pStyle w:val="Style_3"/>
      </w:pPr>
      <w:r>
        <w:t>4) адрес юридического лица;</w:t>
      </w:r>
    </w:p>
    <w:p w14:paraId="A1000000">
      <w:pPr>
        <w:pStyle w:val="Style_3"/>
      </w:pPr>
      <w:r>
        <w:t>5) запрашиваемый участником отбора размер субсидии.</w:t>
      </w:r>
    </w:p>
    <w:p w14:paraId="A2000000">
      <w:pPr>
        <w:pStyle w:val="Style_3"/>
      </w:pPr>
      <w:bookmarkStart w:id="61" w:name="anchor10034"/>
      <w:bookmarkEnd w:id="61"/>
      <w:r>
        <w:t xml:space="preserve">34. Протокол вскрытия заявок формируется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автоматически и подписывается усиленной </w:t>
      </w:r>
      <w:r>
        <w:rPr>
          <w:color w:val="0000FF"/>
          <w:u w:val="single"/>
        </w:rPr>
        <w:fldChar w:fldCharType="begin"/>
      </w:r>
      <w:r>
        <w:rPr>
          <w:color w:val="0000FF"/>
          <w:u w:val="single"/>
        </w:rPr>
        <w:instrText>HYPERLINK "https://internet.garant.ru/document/redirect/12184522/54"</w:instrText>
      </w:r>
      <w:r>
        <w:rPr>
          <w:color w:val="0000FF"/>
          <w:u w:val="single"/>
        </w:rPr>
        <w:fldChar w:fldCharType="separate"/>
      </w:r>
      <w:r>
        <w:rPr>
          <w:color w:val="0000FF"/>
          <w:u w:val="single"/>
        </w:rPr>
        <w:t>квалифицированной электронной подписью</w:t>
      </w:r>
      <w:r>
        <w:rPr>
          <w:color w:val="0000FF"/>
          <w:u w:val="single"/>
        </w:rPr>
        <w:fldChar w:fldCharType="end"/>
      </w:r>
      <w:r>
        <w:t xml:space="preserve"> руководителя Департамента (уполномоченного лица) в системе "Электронный бюджет". Размещение указанного протокола на едином портале осуществляется не позднее одного рабочего дня, следующего за днем его утверждения.</w:t>
      </w:r>
    </w:p>
    <w:p w14:paraId="A3000000">
      <w:pPr>
        <w:pStyle w:val="Style_3"/>
      </w:pPr>
      <w:bookmarkStart w:id="62" w:name="anchor10035"/>
      <w:bookmarkEnd w:id="62"/>
      <w:r>
        <w:t xml:space="preserve">35. Департамент осуществляет рассмотрение заявок и документов, представленных в соответствии с </w:t>
      </w:r>
      <w:r>
        <w:rPr>
          <w:color w:val="0000FF"/>
          <w:u w:val="single"/>
        </w:rPr>
        <w:fldChar w:fldCharType="begin"/>
      </w:r>
      <w:r>
        <w:rPr>
          <w:color w:val="0000FF"/>
          <w:u w:val="single"/>
        </w:rPr>
        <w:instrText>HYPERLINK \l "anchor10027"</w:instrText>
      </w:r>
      <w:r>
        <w:rPr>
          <w:color w:val="0000FF"/>
          <w:u w:val="single"/>
        </w:rPr>
        <w:fldChar w:fldCharType="separate"/>
      </w:r>
      <w:r>
        <w:rPr>
          <w:color w:val="0000FF"/>
          <w:u w:val="single"/>
        </w:rPr>
        <w:t>пунктом 27</w:t>
      </w:r>
      <w:r>
        <w:rPr>
          <w:color w:val="0000FF"/>
          <w:u w:val="single"/>
        </w:rPr>
        <w:fldChar w:fldCharType="end"/>
      </w:r>
      <w:r>
        <w:t xml:space="preserve"> настоящего Порядка, в срок, не превышающий десяти рабочих дней со дня утверждения протокола вскрытия заявок.</w:t>
      </w:r>
    </w:p>
    <w:p w14:paraId="A4000000">
      <w:pPr>
        <w:pStyle w:val="Style_3"/>
      </w:pPr>
      <w:bookmarkStart w:id="63" w:name="anchor10036"/>
      <w:bookmarkEnd w:id="63"/>
      <w:r>
        <w:t xml:space="preserve">36. Проверка соответствия участника отбора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осуществляется Департаментом исходя из представленных участником отбора и (или) запрошенных с использованием единой системы межведомственного электронного взаимодействия Департаментом документов, а также в рамках реализации бюджетного полномочия Департаментом по обеспечению соблюдения участником отбора условий, целей и порядка предоставления субсидий, в срок не более десяти рабочих дней со дня утверждения протокола вскрытия заявок.</w:t>
      </w:r>
    </w:p>
    <w:p w14:paraId="A5000000">
      <w:pPr>
        <w:pStyle w:val="Style_3"/>
      </w:pPr>
      <w:bookmarkStart w:id="64" w:name="anchor10037"/>
      <w:bookmarkEnd w:id="64"/>
      <w:r>
        <w:t>37. На стадии рассмотрения заявки основаниями для отклонения заявки являются:</w:t>
      </w:r>
    </w:p>
    <w:p w14:paraId="A6000000">
      <w:pPr>
        <w:pStyle w:val="Style_3"/>
      </w:pPr>
      <w:r>
        <w:t xml:space="preserve">1) несоответствие участника отбора критериям отбора, установленным </w:t>
      </w:r>
      <w:r>
        <w:rPr>
          <w:color w:val="0000FF"/>
          <w:u w:val="single"/>
        </w:rPr>
        <w:t>пунктом 9</w:t>
      </w:r>
      <w:r>
        <w:t xml:space="preserve"> настоящего Порядка;</w:t>
      </w:r>
    </w:p>
    <w:p w14:paraId="A7000000">
      <w:pPr>
        <w:pStyle w:val="Style_3"/>
      </w:pPr>
      <w:r>
        <w:t xml:space="preserve">2) несоответствие участника отбора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w:t>
      </w:r>
    </w:p>
    <w:p w14:paraId="A8000000">
      <w:pPr>
        <w:pStyle w:val="Style_3"/>
      </w:pPr>
      <w:r>
        <w:t xml:space="preserve">3) непредставление (представление не в полном объеме) документов, указанных в объявлении о проведении отбора, предусмотренных </w:t>
      </w:r>
      <w:r>
        <w:rPr>
          <w:color w:val="0000FF"/>
          <w:u w:val="single"/>
        </w:rPr>
        <w:fldChar w:fldCharType="begin"/>
      </w:r>
      <w:r>
        <w:rPr>
          <w:color w:val="0000FF"/>
          <w:u w:val="single"/>
        </w:rPr>
        <w:instrText>HYPERLINK \l "anchor10027"</w:instrText>
      </w:r>
      <w:r>
        <w:rPr>
          <w:color w:val="0000FF"/>
          <w:u w:val="single"/>
        </w:rPr>
        <w:fldChar w:fldCharType="separate"/>
      </w:r>
      <w:r>
        <w:rPr>
          <w:color w:val="0000FF"/>
          <w:u w:val="single"/>
        </w:rPr>
        <w:t>пунктом 27</w:t>
      </w:r>
      <w:r>
        <w:rPr>
          <w:color w:val="0000FF"/>
          <w:u w:val="single"/>
        </w:rPr>
        <w:fldChar w:fldCharType="end"/>
      </w:r>
      <w:r>
        <w:t xml:space="preserve"> настоящего Порядка;</w:t>
      </w:r>
    </w:p>
    <w:p w14:paraId="A9000000">
      <w:pPr>
        <w:pStyle w:val="Style_3"/>
      </w:pPr>
      <w:r>
        <w:t>4)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AA000000">
      <w:pPr>
        <w:pStyle w:val="Style_3"/>
      </w:pPr>
      <w:r>
        <w:t>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AB000000">
      <w:pPr>
        <w:pStyle w:val="Style_3"/>
      </w:pPr>
      <w:r>
        <w:t>6) подача участником отбора заявки после даты и (или) времени, определенных для подачи заявок.</w:t>
      </w:r>
    </w:p>
    <w:p w14:paraId="AC000000">
      <w:pPr>
        <w:pStyle w:val="Style_3"/>
      </w:pPr>
      <w:bookmarkStart w:id="65" w:name="anchor10038"/>
      <w:bookmarkEnd w:id="65"/>
      <w:r>
        <w:t>38. Заявка включается в рейтинг,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14:paraId="AD000000">
      <w:pPr>
        <w:pStyle w:val="Style_3"/>
      </w:pPr>
      <w:r>
        <w:t>Ранжирование поступивших заявок осуществляется исходя из очередности поступления заявок.</w:t>
      </w:r>
    </w:p>
    <w:p w14:paraId="AE000000">
      <w:pPr>
        <w:pStyle w:val="Style_3"/>
      </w:pPr>
      <w:bookmarkStart w:id="66" w:name="anchor10039"/>
      <w:bookmarkEnd w:id="66"/>
      <w:r>
        <w:t xml:space="preserve">39. Победителями отбора признаются участники отбора, включенные в рейтинг, сформированный Департаментом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w:t>
      </w:r>
      <w:r>
        <w:rPr>
          <w:color w:val="0000FF"/>
          <w:u w:val="single"/>
        </w:rPr>
        <w:fldChar w:fldCharType="begin"/>
      </w:r>
      <w:r>
        <w:rPr>
          <w:color w:val="0000FF"/>
          <w:u w:val="single"/>
        </w:rPr>
        <w:instrText>HYPERLINK \l "anchor1002013"</w:instrText>
      </w:r>
      <w:r>
        <w:rPr>
          <w:color w:val="0000FF"/>
          <w:u w:val="single"/>
        </w:rPr>
        <w:fldChar w:fldCharType="separate"/>
      </w:r>
      <w:r>
        <w:rPr>
          <w:color w:val="0000FF"/>
          <w:u w:val="single"/>
        </w:rPr>
        <w:t>подпунктом 13 пункта 20</w:t>
      </w:r>
      <w:r>
        <w:rPr>
          <w:color w:val="0000FF"/>
          <w:u w:val="single"/>
        </w:rPr>
        <w:fldChar w:fldCharType="end"/>
      </w:r>
      <w:r>
        <w:t xml:space="preserve"> настоящего Порядка.</w:t>
      </w:r>
    </w:p>
    <w:p w14:paraId="AF000000">
      <w:pPr>
        <w:pStyle w:val="Style_3"/>
      </w:pPr>
      <w:bookmarkStart w:id="67" w:name="anchor10040"/>
      <w:bookmarkEnd w:id="67"/>
      <w:r>
        <w:t xml:space="preserve">40. В целях завершения отбора получателей субсидий и определения победителя (победителей) отбора получателей субсидий формируется протокол подведения итогов отбора получателей субсидий, который формируется автоматически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и подписывается усиленной </w:t>
      </w:r>
      <w:r>
        <w:rPr>
          <w:color w:val="0000FF"/>
          <w:u w:val="single"/>
        </w:rPr>
        <w:fldChar w:fldCharType="begin"/>
      </w:r>
      <w:r>
        <w:rPr>
          <w:color w:val="0000FF"/>
          <w:u w:val="single"/>
        </w:rPr>
        <w:instrText>HYPERLINK "https://internet.garant.ru/document/redirect/12184522/54"</w:instrText>
      </w:r>
      <w:r>
        <w:rPr>
          <w:color w:val="0000FF"/>
          <w:u w:val="single"/>
        </w:rPr>
        <w:fldChar w:fldCharType="separate"/>
      </w:r>
      <w:r>
        <w:rPr>
          <w:color w:val="0000FF"/>
          <w:u w:val="single"/>
        </w:rPr>
        <w:t>квалифицированной электронной подписью</w:t>
      </w:r>
      <w:r>
        <w:rPr>
          <w:color w:val="0000FF"/>
          <w:u w:val="single"/>
        </w:rPr>
        <w:fldChar w:fldCharType="end"/>
      </w:r>
      <w:r>
        <w:t xml:space="preserve"> руководителя Департамента (уполномоченного лица) в системе "Электронный бюджет". Размещение указанного протокола на едином портале осуществляется не позднее одного рабочего дня, следующего за днем его утверждения.</w:t>
      </w:r>
    </w:p>
    <w:p w14:paraId="B0000000">
      <w:pPr>
        <w:pStyle w:val="Style_3"/>
      </w:pPr>
      <w: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B1000000">
      <w:pPr>
        <w:pStyle w:val="Style_3"/>
      </w:pPr>
      <w:bookmarkStart w:id="68" w:name="anchor10041"/>
      <w:bookmarkEnd w:id="68"/>
      <w:r>
        <w:t xml:space="preserve">41. Протокол подведения итогов отбора размещается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в соответствии с </w:t>
      </w:r>
      <w:r>
        <w:rPr>
          <w:color w:val="0000FF"/>
          <w:u w:val="single"/>
        </w:rPr>
        <w:fldChar w:fldCharType="begin"/>
      </w:r>
      <w:r>
        <w:rPr>
          <w:color w:val="0000FF"/>
          <w:u w:val="single"/>
        </w:rPr>
        <w:instrText>HYPERLINK \l "anchor10040"</w:instrText>
      </w:r>
      <w:r>
        <w:rPr>
          <w:color w:val="0000FF"/>
          <w:u w:val="single"/>
        </w:rPr>
        <w:fldChar w:fldCharType="separate"/>
      </w:r>
      <w:r>
        <w:rPr>
          <w:color w:val="0000FF"/>
          <w:u w:val="single"/>
        </w:rPr>
        <w:t>пунктом 40</w:t>
      </w:r>
      <w:r>
        <w:rPr>
          <w:color w:val="0000FF"/>
          <w:u w:val="single"/>
        </w:rPr>
        <w:fldChar w:fldCharType="end"/>
      </w:r>
      <w:r>
        <w:t xml:space="preserve"> настоящего Порядка, а также в срок, не превышающий пяти рабочих дней со дня утверждения протокола подведения итогов отбора получателей субсидий, на </w:t>
      </w:r>
      <w:r>
        <w:rPr>
          <w:color w:val="0000FF"/>
          <w:u w:val="single"/>
        </w:rPr>
        <w:fldChar w:fldCharType="begin"/>
      </w:r>
      <w:r>
        <w:rPr>
          <w:color w:val="0000FF"/>
          <w:u w:val="single"/>
        </w:rPr>
        <w:instrText>HYPERLINK "http://dprea.adm-nao.ru"</w:instrText>
      </w:r>
      <w:r>
        <w:rPr>
          <w:color w:val="0000FF"/>
          <w:u w:val="single"/>
        </w:rPr>
        <w:fldChar w:fldCharType="separate"/>
      </w:r>
      <w:r>
        <w:rPr>
          <w:color w:val="0000FF"/>
          <w:u w:val="single"/>
        </w:rPr>
        <w:t>официальном сайте</w:t>
      </w:r>
      <w:r>
        <w:rPr>
          <w:color w:val="0000FF"/>
          <w:u w:val="single"/>
        </w:rPr>
        <w:fldChar w:fldCharType="end"/>
      </w:r>
      <w:r>
        <w:t xml:space="preserve"> Департамента в информационно-телекоммуникационной сети "Интернет" и включает следующие сведения:</w:t>
      </w:r>
    </w:p>
    <w:p w14:paraId="B2000000">
      <w:pPr>
        <w:pStyle w:val="Style_3"/>
      </w:pPr>
      <w:r>
        <w:t>1) дату, время и место проведения рассмотрения заявок;</w:t>
      </w:r>
    </w:p>
    <w:p w14:paraId="B3000000">
      <w:pPr>
        <w:pStyle w:val="Style_3"/>
      </w:pPr>
      <w:r>
        <w:t>2) информацию об участниках отбора, заявки которых были рассмотрены;</w:t>
      </w:r>
    </w:p>
    <w:p w14:paraId="B4000000">
      <w:pPr>
        <w:pStyle w:val="Style_3"/>
      </w:pPr>
      <w:r>
        <w:t>3)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B5000000">
      <w:pPr>
        <w:pStyle w:val="Style_3"/>
      </w:pPr>
      <w:r>
        <w:t>4) наименование получателя субсидии (получателей субсидий), с которым заключается Соглашение, и размер предоставляемой ему субсидии.</w:t>
      </w:r>
    </w:p>
    <w:p w14:paraId="B6000000">
      <w:pPr>
        <w:pStyle w:val="Style_3"/>
      </w:pPr>
      <w:bookmarkStart w:id="69" w:name="anchor10042"/>
      <w:bookmarkEnd w:id="69"/>
      <w:r>
        <w:t xml:space="preserve">42. Субсидии, распределяемые в рамках отбора получателей субсидий, распределяются между участниками отбора получателей субсидий, включенными в рейтинг, указанный в </w:t>
      </w:r>
      <w:r>
        <w:rPr>
          <w:color w:val="0000FF"/>
          <w:u w:val="single"/>
        </w:rPr>
        <w:fldChar w:fldCharType="begin"/>
      </w:r>
      <w:r>
        <w:rPr>
          <w:color w:val="0000FF"/>
          <w:u w:val="single"/>
        </w:rPr>
        <w:instrText>HYPERLINK \l "anchor10038"</w:instrText>
      </w:r>
      <w:r>
        <w:rPr>
          <w:color w:val="0000FF"/>
          <w:u w:val="single"/>
        </w:rPr>
        <w:fldChar w:fldCharType="separate"/>
      </w:r>
      <w:r>
        <w:rPr>
          <w:color w:val="0000FF"/>
          <w:u w:val="single"/>
        </w:rPr>
        <w:t>пункте 38</w:t>
      </w:r>
      <w:r>
        <w:rPr>
          <w:color w:val="0000FF"/>
          <w:u w:val="single"/>
        </w:rPr>
        <w:fldChar w:fldCharType="end"/>
      </w:r>
      <w:r>
        <w:t xml:space="preserve"> настоящего Порядка, следующим способом: 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субсидий, запрашиваемому всеми участниками отбора получателей субсидий, включенными в рейтинг, но не выше размера, указанного им в заявке.</w:t>
      </w:r>
    </w:p>
    <w:p w14:paraId="B7000000">
      <w:pPr>
        <w:pStyle w:val="Style_3"/>
      </w:pPr>
      <w:r>
        <w:t>В случае, если общий размер субсидий, распределяемых в рамках отбора меньше суммы субсидий, заявленной всеми участниками отбора, то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субсидий, запрашиваемому всеми участниками отбора получателей субсидий, включенными в рейтинг, но не выше размера, указанного им в заявке.</w:t>
      </w:r>
    </w:p>
    <w:p w14:paraId="B8000000">
      <w:pPr>
        <w:pStyle w:val="Style_2"/>
        <w:ind/>
        <w:outlineLvl w:val="0"/>
      </w:pPr>
      <w:bookmarkStart w:id="70" w:name="anchor250"/>
      <w:bookmarkEnd w:id="70"/>
      <w:r>
        <w:t>Глава 5. Порядок взаимодействия Департамента с победителем (победителями) отбора получателей субсидий по результатам его проведения</w:t>
      </w:r>
    </w:p>
    <w:p w14:paraId="B9000000">
      <w:pPr>
        <w:pStyle w:val="Style_3"/>
      </w:pPr>
      <w:bookmarkStart w:id="71" w:name="anchor10043"/>
      <w:bookmarkEnd w:id="71"/>
      <w:r>
        <w:t xml:space="preserve">43. Соглашение заключается между Департаментом и победителем отбора в срок не позднее десяти рабочих дней со дня, следующего за днем размещения на </w:t>
      </w:r>
      <w:r>
        <w:rPr>
          <w:color w:val="0000FF"/>
          <w:u w:val="single"/>
        </w:rPr>
        <w:fldChar w:fldCharType="begin"/>
      </w:r>
      <w:r>
        <w:rPr>
          <w:color w:val="0000FF"/>
          <w:u w:val="single"/>
        </w:rPr>
        <w:instrText>HYPERLINK "http://www.budget.gov.ru"</w:instrText>
      </w:r>
      <w:r>
        <w:rPr>
          <w:color w:val="0000FF"/>
          <w:u w:val="single"/>
        </w:rPr>
        <w:fldChar w:fldCharType="separate"/>
      </w:r>
      <w:r>
        <w:rPr>
          <w:color w:val="0000FF"/>
          <w:u w:val="single"/>
        </w:rPr>
        <w:t>едином портале</w:t>
      </w:r>
      <w:r>
        <w:rPr>
          <w:color w:val="0000FF"/>
          <w:u w:val="single"/>
        </w:rPr>
        <w:fldChar w:fldCharType="end"/>
      </w:r>
      <w:r>
        <w:t xml:space="preserve"> протокола подведения итогов отбора.</w:t>
      </w:r>
    </w:p>
    <w:p w14:paraId="BA000000">
      <w:pPr>
        <w:pStyle w:val="Style_3"/>
      </w:pPr>
      <w:r>
        <w:t>В целях заключения Соглашения победителем (победителями) отбора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BB000000">
      <w:pPr>
        <w:pStyle w:val="Style_3"/>
      </w:pPr>
      <w:bookmarkStart w:id="72" w:name="anchor10044"/>
      <w:bookmarkEnd w:id="72"/>
      <w:r>
        <w:t>44. Уведомление о заключении Соглашения с приложением двух экземпляров Соглашения вручается победителю отбора непосредственно в Департаменте под подпись о получении либо направляется по почте заказным письмом с уведомлением о вручении.</w:t>
      </w:r>
    </w:p>
    <w:p w14:paraId="BC000000">
      <w:pPr>
        <w:pStyle w:val="Style_3"/>
      </w:pPr>
      <w:bookmarkStart w:id="73" w:name="anchor10045"/>
      <w:bookmarkEnd w:id="73"/>
      <w:r>
        <w:t>45. Соглашение, дополнительное соглашение к Соглашению, в том числе дополнительное соглашение о расторжении Соглашения (при необходимости) заключается в соответствии с типовыми формами, установленными финансовым органом Ненецкого автономного округа.</w:t>
      </w:r>
    </w:p>
    <w:p w14:paraId="BD000000">
      <w:pPr>
        <w:pStyle w:val="Style_3"/>
      </w:pPr>
      <w:bookmarkStart w:id="74" w:name="anchor10046"/>
      <w:bookmarkEnd w:id="74"/>
      <w:r>
        <w:t>46. Соглашение в обязательном порядке предусматривает:</w:t>
      </w:r>
    </w:p>
    <w:p w14:paraId="BE000000">
      <w:pPr>
        <w:pStyle w:val="Style_3"/>
      </w:pPr>
      <w:r>
        <w:t>1) результат предоставления субсидии и его значение;</w:t>
      </w:r>
    </w:p>
    <w:p w14:paraId="BF000000">
      <w:pPr>
        <w:pStyle w:val="Style_3"/>
      </w:pPr>
      <w:r>
        <w:t>2) основания возврата полученной субсидии;</w:t>
      </w:r>
    </w:p>
    <w:p w14:paraId="C0000000">
      <w:pPr>
        <w:pStyle w:val="Style_3"/>
      </w:pPr>
      <w:r>
        <w:t xml:space="preserve">3) условия о согласовании новых условий Соглашения или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указанных в </w:t>
      </w:r>
      <w:r>
        <w:rPr>
          <w:color w:val="0000FF"/>
          <w:u w:val="single"/>
        </w:rPr>
        <w:fldChar w:fldCharType="begin"/>
      </w:r>
      <w:r>
        <w:rPr>
          <w:color w:val="0000FF"/>
          <w:u w:val="single"/>
        </w:rPr>
        <w:instrText>HYPERLINK \l "anchor10004"</w:instrText>
      </w:r>
      <w:r>
        <w:rPr>
          <w:color w:val="0000FF"/>
          <w:u w:val="single"/>
        </w:rPr>
        <w:fldChar w:fldCharType="separate"/>
      </w:r>
      <w:r>
        <w:rPr>
          <w:color w:val="0000FF"/>
          <w:u w:val="single"/>
        </w:rPr>
        <w:t>пункте 4</w:t>
      </w:r>
      <w:r>
        <w:rPr>
          <w:color w:val="0000FF"/>
          <w:u w:val="single"/>
        </w:rPr>
        <w:fldChar w:fldCharType="end"/>
      </w:r>
      <w:r>
        <w:t xml:space="preserve"> настоящего Порядка, приводящего к невозможности предоставления субсидии в размере, определенном в Соглашении;</w:t>
      </w:r>
    </w:p>
    <w:p w14:paraId="C1000000">
      <w:pPr>
        <w:pStyle w:val="Style_3"/>
      </w:pPr>
      <w:r>
        <w:t>4) меры ответственности за нарушение условий и порядка предоставления субсидии, в том числе за недостижение результата предоставления субсидии;</w:t>
      </w:r>
    </w:p>
    <w:p w14:paraId="C2000000">
      <w:pPr>
        <w:pStyle w:val="Style_3"/>
      </w:pPr>
      <w:r>
        <w:t>5) порядок представления дополнительной отчетности, подлежащей представлению получателем субсидии в сроки и по форме, которые определены Соглашением.</w:t>
      </w:r>
    </w:p>
    <w:p w14:paraId="C3000000">
      <w:pPr>
        <w:pStyle w:val="Style_3"/>
      </w:pPr>
      <w:bookmarkStart w:id="75" w:name="anchor10047"/>
      <w:bookmarkEnd w:id="75"/>
      <w:r>
        <w:t>47.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C4000000">
      <w:pPr>
        <w:pStyle w:val="Style_3"/>
      </w:pPr>
      <w:bookmarkStart w:id="76" w:name="anchor10048"/>
      <w:bookmarkEnd w:id="76"/>
      <w:r>
        <w:t xml:space="preserve">48.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r>
        <w:rPr>
          <w:color w:val="0000FF"/>
          <w:u w:val="single"/>
        </w:rPr>
        <w:fldChar w:fldCharType="begin"/>
      </w:r>
      <w:r>
        <w:rPr>
          <w:color w:val="0000FF"/>
          <w:u w:val="single"/>
        </w:rPr>
        <w:instrText>HYPERLINK "https://internet.garant.ru/document/redirect/10164072/23052"</w:instrText>
      </w:r>
      <w:r>
        <w:rPr>
          <w:color w:val="0000FF"/>
          <w:u w:val="single"/>
        </w:rPr>
        <w:fldChar w:fldCharType="separate"/>
      </w:r>
      <w:r>
        <w:rPr>
          <w:color w:val="0000FF"/>
          <w:u w:val="single"/>
        </w:rPr>
        <w:t>абзацем вторым пункта 5 статьи 23</w:t>
      </w:r>
      <w:r>
        <w:rPr>
          <w:color w:val="0000FF"/>
          <w:u w:val="single"/>
        </w:rPr>
        <w:fldChar w:fldCharType="end"/>
      </w:r>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C5000000">
      <w:pPr>
        <w:pStyle w:val="Style_3"/>
      </w:pPr>
      <w:bookmarkStart w:id="77" w:name="anchor10049"/>
      <w:bookmarkEnd w:id="77"/>
      <w:r>
        <w:t xml:space="preserve">49.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r>
        <w:rPr>
          <w:color w:val="0000FF"/>
          <w:u w:val="single"/>
        </w:rPr>
        <w:fldChar w:fldCharType="begin"/>
      </w:r>
      <w:r>
        <w:rPr>
          <w:color w:val="0000FF"/>
          <w:u w:val="single"/>
        </w:rPr>
        <w:instrText>HYPERLINK "https://internet.garant.ru/document/redirect/10164072/23052"</w:instrText>
      </w:r>
      <w:r>
        <w:rPr>
          <w:color w:val="0000FF"/>
          <w:u w:val="single"/>
        </w:rPr>
        <w:fldChar w:fldCharType="separate"/>
      </w:r>
      <w:r>
        <w:rPr>
          <w:color w:val="0000FF"/>
          <w:u w:val="single"/>
        </w:rPr>
        <w:t>абзацем вторым пункта 5 статьи 23</w:t>
      </w:r>
      <w:r>
        <w:rPr>
          <w:color w:val="0000FF"/>
          <w:u w:val="single"/>
        </w:rPr>
        <w:fldChar w:fldCharType="end"/>
      </w:r>
      <w:r>
        <w:t xml:space="preserve"> Гражданского кодекса Российской Федерации, передающего свои права другому гражданину в соответствии со </w:t>
      </w:r>
      <w:r>
        <w:rPr>
          <w:color w:val="0000FF"/>
          <w:u w:val="single"/>
        </w:rPr>
        <w:fldChar w:fldCharType="begin"/>
      </w:r>
      <w:r>
        <w:rPr>
          <w:color w:val="0000FF"/>
          <w:u w:val="single"/>
        </w:rPr>
        <w:instrText>HYPERLINK "https://internet.garant.ru/document/redirect/12131264/18"</w:instrText>
      </w:r>
      <w:r>
        <w:rPr>
          <w:color w:val="0000FF"/>
          <w:u w:val="single"/>
        </w:rPr>
        <w:fldChar w:fldCharType="separate"/>
      </w:r>
      <w:r>
        <w:rPr>
          <w:color w:val="0000FF"/>
          <w:u w:val="single"/>
        </w:rPr>
        <w:t>статьей 18</w:t>
      </w:r>
      <w:r>
        <w:rPr>
          <w:color w:val="0000FF"/>
          <w:u w:val="single"/>
        </w:rPr>
        <w:fldChar w:fldCharType="end"/>
      </w:r>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C6000000">
      <w:pPr>
        <w:pStyle w:val="Style_3"/>
      </w:pPr>
      <w:bookmarkStart w:id="78" w:name="anchor10050"/>
      <w:bookmarkEnd w:id="78"/>
      <w:r>
        <w:t>50. Победитель отбора в течение пяти рабочих дней с даты получения Соглашения подписывает два экземпляра Соглашения и представляет их в Департамент для подписания или письменно извещает Департамент об отказе от подписания Соглашения с указанием причин. Подписанные два экземпляра Соглашения или уведомление об отказе от подписания Соглашения могут быть доставлены победителем отбора в Департамент непосредственно или направлены почтовым отправлением.</w:t>
      </w:r>
    </w:p>
    <w:p w14:paraId="C7000000">
      <w:pPr>
        <w:pStyle w:val="Style_3"/>
      </w:pPr>
      <w:r>
        <w:t xml:space="preserve">При направлении победителем отбора документов, указанных в </w:t>
      </w:r>
      <w:r>
        <w:rPr>
          <w:color w:val="0000FF"/>
          <w:u w:val="single"/>
        </w:rPr>
        <w:fldChar w:fldCharType="begin"/>
      </w:r>
      <w:r>
        <w:rPr>
          <w:color w:val="0000FF"/>
          <w:u w:val="single"/>
        </w:rPr>
        <w:instrText>HYPERLINK \l "anchor10050"</w:instrText>
      </w:r>
      <w:r>
        <w:rPr>
          <w:color w:val="0000FF"/>
          <w:u w:val="single"/>
        </w:rPr>
        <w:fldChar w:fldCharType="separate"/>
      </w:r>
      <w:r>
        <w:rPr>
          <w:color w:val="0000FF"/>
          <w:u w:val="single"/>
        </w:rPr>
        <w:t>абзаце первом</w:t>
      </w:r>
      <w:r>
        <w:rPr>
          <w:color w:val="0000FF"/>
          <w:u w:val="single"/>
        </w:rPr>
        <w:fldChar w:fldCharType="end"/>
      </w:r>
      <w:r>
        <w:t xml:space="preserve"> настоящего пункта, почтовым отправлением днем представления документов считается день отправления, указанный в оттиске штемпеля на почтовом отправлении.</w:t>
      </w:r>
    </w:p>
    <w:p w14:paraId="C8000000">
      <w:pPr>
        <w:pStyle w:val="Style_3"/>
      </w:pPr>
      <w:bookmarkStart w:id="79" w:name="anchor10051"/>
      <w:bookmarkEnd w:id="79"/>
      <w:r>
        <w:t xml:space="preserve">51. Победитель отбора признается уклонившимся от заключения Соглашения в случае, если в течение срока, указанного в </w:t>
      </w:r>
      <w:r>
        <w:rPr>
          <w:color w:val="0000FF"/>
          <w:u w:val="single"/>
        </w:rPr>
        <w:fldChar w:fldCharType="begin"/>
      </w:r>
      <w:r>
        <w:rPr>
          <w:color w:val="0000FF"/>
          <w:u w:val="single"/>
        </w:rPr>
        <w:instrText>HYPERLINK \l "anchor10050"</w:instrText>
      </w:r>
      <w:r>
        <w:rPr>
          <w:color w:val="0000FF"/>
          <w:u w:val="single"/>
        </w:rPr>
        <w:fldChar w:fldCharType="separate"/>
      </w:r>
      <w:r>
        <w:rPr>
          <w:color w:val="0000FF"/>
          <w:u w:val="single"/>
        </w:rPr>
        <w:t>пункте 50</w:t>
      </w:r>
      <w:r>
        <w:rPr>
          <w:color w:val="0000FF"/>
          <w:u w:val="single"/>
        </w:rPr>
        <w:fldChar w:fldCharType="end"/>
      </w:r>
      <w:r>
        <w:t xml:space="preserve"> настоящего Порядка, победитель отбора не представил в Департамент подписанное Соглашение.</w:t>
      </w:r>
    </w:p>
    <w:p w14:paraId="C9000000">
      <w:pPr>
        <w:pStyle w:val="Style_3"/>
      </w:pPr>
      <w:bookmarkStart w:id="80" w:name="anchor10052"/>
      <w:bookmarkEnd w:id="80"/>
      <w:r>
        <w:t>52. Департамент в течение пяти рабочих дней после получения подписанного победителем отбора Соглашения подписывает его в двух экземплярах.</w:t>
      </w:r>
    </w:p>
    <w:p w14:paraId="CA000000">
      <w:pPr>
        <w:pStyle w:val="Style_3"/>
      </w:pPr>
      <w:r>
        <w:t>В течение трех рабочих дней с даты подписания Соглашения один экземпляр Соглашения вручается победителю отбора непосредственно в Департаменте или направляется почтовым отправлением.</w:t>
      </w:r>
    </w:p>
    <w:p w14:paraId="CB000000">
      <w:pPr>
        <w:pStyle w:val="Style_3"/>
      </w:pPr>
      <w:bookmarkStart w:id="81" w:name="anchor10053"/>
      <w:bookmarkEnd w:id="81"/>
      <w:r>
        <w:t xml:space="preserve">53. Департамент отказывает в заключении Соглашения с победителем отбора в случае обнаружения на дату заключения Соглашения факта несоответствия победителя отбора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или представления победителем отбора недостоверной информации, о чем победителю отбора направляет уведомление.</w:t>
      </w:r>
    </w:p>
    <w:p w14:paraId="CC000000">
      <w:pPr>
        <w:pStyle w:val="Style_3"/>
      </w:pPr>
      <w:r>
        <w:t xml:space="preserve">Проверка соответствия победителя отбора требованиям, установленным </w:t>
      </w:r>
      <w:r>
        <w:rPr>
          <w:color w:val="0000FF"/>
          <w:u w:val="single"/>
        </w:rPr>
        <w:fldChar w:fldCharType="begin"/>
      </w:r>
      <w:r>
        <w:rPr>
          <w:color w:val="0000FF"/>
          <w:u w:val="single"/>
        </w:rPr>
        <w:instrText>HYPERLINK \l "anchor10010"</w:instrText>
      </w:r>
      <w:r>
        <w:rPr>
          <w:color w:val="0000FF"/>
          <w:u w:val="single"/>
        </w:rPr>
        <w:fldChar w:fldCharType="separate"/>
      </w:r>
      <w:r>
        <w:rPr>
          <w:color w:val="0000FF"/>
          <w:u w:val="single"/>
        </w:rPr>
        <w:t>пунктом 10</w:t>
      </w:r>
      <w:r>
        <w:rPr>
          <w:color w:val="0000FF"/>
          <w:u w:val="single"/>
        </w:rPr>
        <w:fldChar w:fldCharType="end"/>
      </w:r>
      <w:r>
        <w:t xml:space="preserve"> настоящего Порядка, осуществляется Департаментом в соответствии с </w:t>
      </w:r>
      <w:r>
        <w:rPr>
          <w:color w:val="0000FF"/>
          <w:u w:val="single"/>
        </w:rPr>
        <w:t>пунктом 14</w:t>
      </w:r>
      <w:r>
        <w:t xml:space="preserve"> настоящего Порядка в день подписания Соглашения Департаментом.</w:t>
      </w:r>
    </w:p>
    <w:p w14:paraId="CD000000">
      <w:pPr>
        <w:pStyle w:val="Style_3"/>
      </w:pPr>
      <w:bookmarkStart w:id="82" w:name="anchor10054"/>
      <w:bookmarkEnd w:id="82"/>
      <w:r>
        <w:t xml:space="preserve">54. В случае отказа Департамента от заключения Соглашения с победителем отбора по основаниям, предусмотренным </w:t>
      </w:r>
      <w:r>
        <w:rPr>
          <w:color w:val="0000FF"/>
          <w:u w:val="single"/>
        </w:rPr>
        <w:fldChar w:fldCharType="begin"/>
      </w:r>
      <w:r>
        <w:rPr>
          <w:color w:val="0000FF"/>
          <w:u w:val="single"/>
        </w:rPr>
        <w:instrText>HYPERLINK \l "anchor10053"</w:instrText>
      </w:r>
      <w:r>
        <w:rPr>
          <w:color w:val="0000FF"/>
          <w:u w:val="single"/>
        </w:rPr>
        <w:fldChar w:fldCharType="separate"/>
      </w:r>
      <w:r>
        <w:rPr>
          <w:color w:val="0000FF"/>
          <w:u w:val="single"/>
        </w:rPr>
        <w:t>пунктом 53</w:t>
      </w:r>
      <w:r>
        <w:rPr>
          <w:color w:val="0000FF"/>
          <w:u w:val="single"/>
        </w:rPr>
        <w:fldChar w:fldCharType="end"/>
      </w:r>
      <w:r>
        <w:t xml:space="preserve"> настоящего Порядка, отказа победителя отбора от заключения Соглашения, неподписания победителем отбора Соглашения в срок, установленный </w:t>
      </w:r>
      <w:r>
        <w:rPr>
          <w:color w:val="0000FF"/>
          <w:u w:val="single"/>
        </w:rPr>
        <w:fldChar w:fldCharType="begin"/>
      </w:r>
      <w:r>
        <w:rPr>
          <w:color w:val="0000FF"/>
          <w:u w:val="single"/>
        </w:rPr>
        <w:instrText>HYPERLINK \l "anchor10050"</w:instrText>
      </w:r>
      <w:r>
        <w:rPr>
          <w:color w:val="0000FF"/>
          <w:u w:val="single"/>
        </w:rPr>
        <w:fldChar w:fldCharType="separate"/>
      </w:r>
      <w:r>
        <w:rPr>
          <w:color w:val="0000FF"/>
          <w:u w:val="single"/>
        </w:rPr>
        <w:t>пунктом 50</w:t>
      </w:r>
      <w:r>
        <w:rPr>
          <w:color w:val="0000FF"/>
          <w:u w:val="single"/>
        </w:rPr>
        <w:fldChar w:fldCharType="end"/>
      </w:r>
      <w:r>
        <w:t xml:space="preserve"> настоящего Порядка, Департамент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результата ее предоставления.</w:t>
      </w:r>
    </w:p>
    <w:p w14:paraId="CE000000">
      <w:pPr>
        <w:pStyle w:val="Style_3"/>
      </w:pPr>
      <w:bookmarkStart w:id="83" w:name="anchor10055"/>
      <w:bookmarkEnd w:id="83"/>
      <w:r>
        <w:t>55. В случаях увеличения Департаменту лимитов бюджетных обязательств на предоставление субсидий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получателей субсидий с учетом присвоенного ранее номера в рейтинге или по решению Департамента могут направляться победителям отбора предложения об увеличении размера субсидии и значения результата предоставления субсидии.</w:t>
      </w:r>
    </w:p>
    <w:p w14:paraId="CF000000">
      <w:pPr>
        <w:pStyle w:val="Style_3"/>
      </w:pPr>
      <w:bookmarkStart w:id="84" w:name="anchor10056"/>
      <w:bookmarkEnd w:id="84"/>
      <w:r>
        <w:t>56. В случаях наличия по результатам проведения отбора остатка лимитов бюджетных обязательств на предоставление субсидий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от заключения Соглашения, расторжения Соглашения с получателем субсидии Департамент вправе принять решение о проведении дополнительного отбора получателей субсидий в соответствии с положениями настоящего Порядка.</w:t>
      </w:r>
    </w:p>
    <w:p w14:paraId="D0000000">
      <w:pPr>
        <w:pStyle w:val="Style_3"/>
      </w:pPr>
      <w:bookmarkStart w:id="85" w:name="anchor10057"/>
      <w:bookmarkEnd w:id="85"/>
      <w:r>
        <w:t>57. Дополнительные соглашения с получателями субсидий заключаются при необходимости внесения изменений в Соглашение, либо его расторжения.</w:t>
      </w:r>
    </w:p>
    <w:p w14:paraId="D1000000">
      <w:pPr>
        <w:pStyle w:val="Style_3"/>
      </w:pPr>
      <w:r>
        <w:t xml:space="preserve">Дополнительные соглашения заключаются в соответствии с </w:t>
      </w:r>
      <w:r>
        <w:rPr>
          <w:color w:val="0000FF"/>
          <w:u w:val="single"/>
        </w:rPr>
        <w:fldChar w:fldCharType="begin"/>
      </w:r>
      <w:r>
        <w:rPr>
          <w:color w:val="0000FF"/>
          <w:u w:val="single"/>
        </w:rPr>
        <w:instrText>HYPERLINK \l "anchor10043"</w:instrText>
      </w:r>
      <w:r>
        <w:rPr>
          <w:color w:val="0000FF"/>
          <w:u w:val="single"/>
        </w:rPr>
        <w:fldChar w:fldCharType="separate"/>
      </w:r>
      <w:r>
        <w:rPr>
          <w:color w:val="0000FF"/>
          <w:u w:val="single"/>
        </w:rPr>
        <w:t>пунктами 43-50</w:t>
      </w:r>
      <w:r>
        <w:rPr>
          <w:color w:val="0000FF"/>
          <w:u w:val="single"/>
        </w:rPr>
        <w:fldChar w:fldCharType="end"/>
      </w:r>
      <w:r>
        <w:t xml:space="preserve">, </w:t>
      </w:r>
      <w:r>
        <w:rPr>
          <w:color w:val="0000FF"/>
          <w:u w:val="single"/>
        </w:rPr>
        <w:fldChar w:fldCharType="begin"/>
      </w:r>
      <w:r>
        <w:rPr>
          <w:color w:val="0000FF"/>
          <w:u w:val="single"/>
        </w:rPr>
        <w:instrText>HYPERLINK \l "anchor10052"</w:instrText>
      </w:r>
      <w:r>
        <w:rPr>
          <w:color w:val="0000FF"/>
          <w:u w:val="single"/>
        </w:rPr>
        <w:fldChar w:fldCharType="separate"/>
      </w:r>
      <w:r>
        <w:rPr>
          <w:color w:val="0000FF"/>
          <w:u w:val="single"/>
        </w:rPr>
        <w:t>52</w:t>
      </w:r>
      <w:r>
        <w:rPr>
          <w:color w:val="0000FF"/>
          <w:u w:val="single"/>
        </w:rPr>
        <w:fldChar w:fldCharType="end"/>
      </w:r>
      <w:r>
        <w:t xml:space="preserve">, </w:t>
      </w:r>
      <w:r>
        <w:rPr>
          <w:color w:val="0000FF"/>
          <w:u w:val="single"/>
        </w:rPr>
        <w:fldChar w:fldCharType="begin"/>
      </w:r>
      <w:r>
        <w:rPr>
          <w:color w:val="0000FF"/>
          <w:u w:val="single"/>
        </w:rPr>
        <w:instrText>HYPERLINK \l "anchor10054"</w:instrText>
      </w:r>
      <w:r>
        <w:rPr>
          <w:color w:val="0000FF"/>
          <w:u w:val="single"/>
        </w:rPr>
        <w:fldChar w:fldCharType="separate"/>
      </w:r>
      <w:r>
        <w:rPr>
          <w:color w:val="0000FF"/>
          <w:u w:val="single"/>
        </w:rPr>
        <w:t>54-56</w:t>
      </w:r>
      <w:r>
        <w:rPr>
          <w:color w:val="0000FF"/>
          <w:u w:val="single"/>
        </w:rPr>
        <w:fldChar w:fldCharType="end"/>
      </w:r>
      <w:r>
        <w:t xml:space="preserve"> настоящего Порядка.</w:t>
      </w:r>
    </w:p>
    <w:p w14:paraId="D2000000">
      <w:pPr>
        <w:pStyle w:val="Style_2"/>
        <w:ind/>
        <w:outlineLvl w:val="0"/>
      </w:pPr>
      <w:bookmarkStart w:id="86" w:name="anchor260"/>
      <w:bookmarkEnd w:id="86"/>
      <w:r>
        <w:t>Глава 6. Условия и порядок предоставления субсидий</w:t>
      </w:r>
    </w:p>
    <w:p w14:paraId="D3000000">
      <w:pPr>
        <w:pStyle w:val="Style_3"/>
      </w:pPr>
      <w:r>
        <w:t>58. Субсидия предоставляется при соблюдении следующих условий:</w:t>
      </w:r>
    </w:p>
    <w:p w14:paraId="D4000000">
      <w:pPr>
        <w:pStyle w:val="Style_3"/>
      </w:pPr>
      <w:r>
        <w:t xml:space="preserve">1) использование заявителем при ценообразовании на продовольственные товары, определенные </w:t>
      </w:r>
      <w:r>
        <w:rPr>
          <w:color w:val="0000FF"/>
          <w:u w:val="single"/>
        </w:rPr>
        <w:fldChar w:fldCharType="begin"/>
      </w:r>
      <w:r>
        <w:rPr>
          <w:color w:val="0000FF"/>
          <w:u w:val="single"/>
        </w:rPr>
        <w:instrText>HYPERLINK \l "anchor1001"</w:instrText>
      </w:r>
      <w:r>
        <w:rPr>
          <w:color w:val="0000FF"/>
          <w:u w:val="single"/>
        </w:rPr>
        <w:fldChar w:fldCharType="separate"/>
      </w:r>
      <w:r>
        <w:rPr>
          <w:color w:val="0000FF"/>
          <w:u w:val="single"/>
        </w:rPr>
        <w:t>пунктами 1-18</w:t>
      </w:r>
      <w:r>
        <w:rPr>
          <w:color w:val="0000FF"/>
          <w:u w:val="single"/>
        </w:rPr>
        <w:fldChar w:fldCharType="end"/>
      </w:r>
      <w:r>
        <w:t xml:space="preserve"> Перечня и приобретенные за пределами территории Ненецкого автономного округа, торговой наценки, не превышающей 80 процентов от их закупочной цены;</w:t>
      </w:r>
    </w:p>
    <w:p w14:paraId="D5000000">
      <w:pPr>
        <w:pStyle w:val="Style_3"/>
      </w:pPr>
      <w:r>
        <w:t xml:space="preserve">2) использование заявителем при ценообразовании на продовольственные товары, определенные </w:t>
      </w:r>
      <w:r>
        <w:rPr>
          <w:color w:val="0000FF"/>
          <w:u w:val="single"/>
        </w:rPr>
        <w:fldChar w:fldCharType="begin"/>
      </w:r>
      <w:r>
        <w:rPr>
          <w:color w:val="0000FF"/>
          <w:u w:val="single"/>
        </w:rPr>
        <w:instrText>HYPERLINK \l "anchor1001"</w:instrText>
      </w:r>
      <w:r>
        <w:rPr>
          <w:color w:val="0000FF"/>
          <w:u w:val="single"/>
        </w:rPr>
        <w:fldChar w:fldCharType="separate"/>
      </w:r>
      <w:r>
        <w:rPr>
          <w:color w:val="0000FF"/>
          <w:u w:val="single"/>
        </w:rPr>
        <w:t>пунктами 1-18</w:t>
      </w:r>
      <w:r>
        <w:rPr>
          <w:color w:val="0000FF"/>
          <w:u w:val="single"/>
        </w:rPr>
        <w:fldChar w:fldCharType="end"/>
      </w:r>
      <w:r>
        <w:t xml:space="preserve"> Перечня и приобретенные на территории Ненецкого автономного округа, торговой наценки, не превышающей 50 процентов от их закупочной цены;</w:t>
      </w:r>
    </w:p>
    <w:p w14:paraId="D6000000">
      <w:pPr>
        <w:pStyle w:val="Style_3"/>
      </w:pPr>
      <w:r>
        <w:t xml:space="preserve">3) использование заявителем при ценообразовании на продовольственные товары, определенные </w:t>
      </w:r>
      <w:r>
        <w:rPr>
          <w:color w:val="0000FF"/>
          <w:u w:val="single"/>
        </w:rPr>
        <w:t>пунктами 19</w:t>
      </w:r>
      <w:r>
        <w:t xml:space="preserve"> и </w:t>
      </w:r>
      <w:r>
        <w:rPr>
          <w:color w:val="0000FF"/>
          <w:u w:val="single"/>
        </w:rPr>
        <w:t>20</w:t>
      </w:r>
      <w:r>
        <w:t xml:space="preserve"> Перечня, торговой наценки, не превышающей 50 процентов от их закупочной цены;</w:t>
      </w:r>
    </w:p>
    <w:p w14:paraId="D7000000">
      <w:pPr>
        <w:pStyle w:val="Style_3"/>
      </w:pPr>
      <w:r>
        <w:t xml:space="preserve">4) наличие в розничной продаже не менее 75 процентов наименований товаров, указанных в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Перечне</w:t>
      </w:r>
      <w:r>
        <w:rPr>
          <w:color w:val="0000FF"/>
          <w:u w:val="single"/>
        </w:rPr>
        <w:fldChar w:fldCharType="end"/>
      </w:r>
      <w:r>
        <w:t>;</w:t>
      </w:r>
    </w:p>
    <w:p w14:paraId="D8000000">
      <w:pPr>
        <w:pStyle w:val="Style_3"/>
      </w:pPr>
      <w:r>
        <w:t>5) оплата услуг по доставке продовольственных товаров произведена путем безналичного расчета.</w:t>
      </w:r>
    </w:p>
    <w:p w14:paraId="D9000000">
      <w:pPr>
        <w:pStyle w:val="Style_3"/>
      </w:pPr>
      <w:r>
        <w:t>59. Для получения субсидии в срок не позднее сорока дней после отчетного месяца (для получения субсидии за январь и февраль 2026 года заявителя представляют документы не позднее 30 апреля 2026 года) получатель субсидии представляет в Департамент следующие документы:</w:t>
      </w:r>
    </w:p>
    <w:p w14:paraId="DA000000">
      <w:pPr>
        <w:pStyle w:val="Style_3"/>
      </w:pPr>
      <w:r>
        <w:t xml:space="preserve">1) заявление о предоставлении субсидии по форме согласно </w:t>
      </w:r>
      <w:r>
        <w:rPr>
          <w:color w:val="0000FF"/>
          <w:u w:val="single"/>
        </w:rPr>
        <w:t>Приложению 3</w:t>
      </w:r>
      <w:r>
        <w:t xml:space="preserve"> к настоящему Порядку;</w:t>
      </w:r>
    </w:p>
    <w:p w14:paraId="DB000000">
      <w:pPr>
        <w:pStyle w:val="Style_3"/>
      </w:pPr>
      <w:r>
        <w:t xml:space="preserve">2) реестр продовольственных товаров по форме согласно </w:t>
      </w:r>
      <w:r>
        <w:rPr>
          <w:color w:val="0000FF"/>
          <w:u w:val="single"/>
        </w:rPr>
        <w:fldChar w:fldCharType="begin"/>
      </w:r>
      <w:r>
        <w:rPr>
          <w:color w:val="0000FF"/>
          <w:u w:val="single"/>
        </w:rPr>
        <w:instrText>HYPERLINK \l "anchor4000"</w:instrText>
      </w:r>
      <w:r>
        <w:rPr>
          <w:color w:val="0000FF"/>
          <w:u w:val="single"/>
        </w:rPr>
        <w:fldChar w:fldCharType="separate"/>
      </w:r>
      <w:r>
        <w:rPr>
          <w:color w:val="0000FF"/>
          <w:u w:val="single"/>
        </w:rPr>
        <w:t>Приложению 4</w:t>
      </w:r>
      <w:r>
        <w:rPr>
          <w:color w:val="0000FF"/>
          <w:u w:val="single"/>
        </w:rPr>
        <w:fldChar w:fldCharType="end"/>
      </w:r>
      <w:r>
        <w:t xml:space="preserve"> к настоящему Порядку. Должностное лицо администрации соответствующего сельского поселения заверяет данные фактической цены реализации в торговой сети, указанной в графе 10 реестра продовольственных товаров;</w:t>
      </w:r>
    </w:p>
    <w:p w14:paraId="DC000000">
      <w:pPr>
        <w:pStyle w:val="Style_3"/>
      </w:pPr>
      <w:r>
        <w:t xml:space="preserve">3) расчет предоставления субсидии на возмещение затрат согласно </w:t>
      </w:r>
      <w:r>
        <w:rPr>
          <w:color w:val="0000FF"/>
          <w:u w:val="single"/>
        </w:rPr>
        <w:fldChar w:fldCharType="begin"/>
      </w:r>
      <w:r>
        <w:rPr>
          <w:color w:val="0000FF"/>
          <w:u w:val="single"/>
        </w:rPr>
        <w:instrText>HYPERLINK \l "anchor5000"</w:instrText>
      </w:r>
      <w:r>
        <w:rPr>
          <w:color w:val="0000FF"/>
          <w:u w:val="single"/>
        </w:rPr>
        <w:fldChar w:fldCharType="separate"/>
      </w:r>
      <w:r>
        <w:rPr>
          <w:color w:val="0000FF"/>
          <w:u w:val="single"/>
        </w:rPr>
        <w:t>Приложению 5</w:t>
      </w:r>
      <w:r>
        <w:rPr>
          <w:color w:val="0000FF"/>
          <w:u w:val="single"/>
        </w:rPr>
        <w:fldChar w:fldCharType="end"/>
      </w:r>
      <w:r>
        <w:t xml:space="preserve"> к настоящему Порядку;</w:t>
      </w:r>
    </w:p>
    <w:p w14:paraId="DD000000">
      <w:pPr>
        <w:pStyle w:val="Style_3"/>
      </w:pPr>
      <w:r>
        <w:t>4) справку свободной формы о количестве продовольственных товаров, включенных в Перечень, и реализованных в отчетном месяце не в розничной продаже;</w:t>
      </w:r>
    </w:p>
    <w:p w14:paraId="DE000000">
      <w:pPr>
        <w:pStyle w:val="Style_3"/>
      </w:pPr>
      <w:r>
        <w:t xml:space="preserve">5) отчет-реестр о наличии в розничной продаже не менее 75% наименований товаров, указанных в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Перечне</w:t>
      </w:r>
      <w:r>
        <w:rPr>
          <w:color w:val="0000FF"/>
          <w:u w:val="single"/>
        </w:rPr>
        <w:fldChar w:fldCharType="end"/>
      </w:r>
      <w:r>
        <w:t xml:space="preserve">, согласно </w:t>
      </w:r>
      <w:r>
        <w:rPr>
          <w:color w:val="0000FF"/>
          <w:u w:val="single"/>
        </w:rPr>
        <w:fldChar w:fldCharType="begin"/>
      </w:r>
      <w:r>
        <w:rPr>
          <w:color w:val="0000FF"/>
          <w:u w:val="single"/>
        </w:rPr>
        <w:instrText>HYPERLINK \l "anchor6000"</w:instrText>
      </w:r>
      <w:r>
        <w:rPr>
          <w:color w:val="0000FF"/>
          <w:u w:val="single"/>
        </w:rPr>
        <w:fldChar w:fldCharType="separate"/>
      </w:r>
      <w:r>
        <w:rPr>
          <w:color w:val="0000FF"/>
          <w:u w:val="single"/>
        </w:rPr>
        <w:t>Приложению 6</w:t>
      </w:r>
      <w:r>
        <w:rPr>
          <w:color w:val="0000FF"/>
          <w:u w:val="single"/>
        </w:rPr>
        <w:fldChar w:fldCharType="end"/>
      </w:r>
      <w:r>
        <w:t xml:space="preserve"> к настоящему Порядку.</w:t>
      </w:r>
    </w:p>
    <w:p w14:paraId="DF000000">
      <w:pPr>
        <w:pStyle w:val="Style_3"/>
      </w:pPr>
      <w:r>
        <w:t xml:space="preserve">6) документы, подтверждающие расходы на перевозку продовольственных товаров, в соответствии с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пунктом 60</w:t>
      </w:r>
      <w:r>
        <w:rPr>
          <w:color w:val="0000FF"/>
          <w:u w:val="single"/>
        </w:rPr>
        <w:fldChar w:fldCharType="end"/>
      </w:r>
      <w:r>
        <w:t xml:space="preserve"> настоящего Порядка.</w:t>
      </w:r>
    </w:p>
    <w:p w14:paraId="E0000000">
      <w:pPr>
        <w:pStyle w:val="Style_3"/>
      </w:pPr>
      <w:bookmarkStart w:id="87" w:name="anchor10060"/>
      <w:bookmarkEnd w:id="87"/>
      <w:r>
        <w:t>60. В целях подтверждения расходов на перевозку продовольственных товаров получатель субсидии представляет в Департамент следующие документы:</w:t>
      </w:r>
    </w:p>
    <w:p w14:paraId="E1000000">
      <w:pPr>
        <w:pStyle w:val="Style_3"/>
      </w:pPr>
      <w:r>
        <w:t xml:space="preserve">копии договоров на оказание услуг (работ) по доставке товаров с приложением копии паспорта транспортного средства (самоходной машины) (за исключением железнодорожных, воздушных, речных и морских перевозок) в соответствии с требованиями, указанными в </w:t>
      </w:r>
      <w:r>
        <w:rPr>
          <w:color w:val="0000FF"/>
          <w:u w:val="single"/>
        </w:rPr>
        <w:fldChar w:fldCharType="begin"/>
      </w:r>
      <w:r>
        <w:rPr>
          <w:color w:val="0000FF"/>
          <w:u w:val="single"/>
        </w:rPr>
        <w:instrText>HYPERLINK \l "anchor10061"</w:instrText>
      </w:r>
      <w:r>
        <w:rPr>
          <w:color w:val="0000FF"/>
          <w:u w:val="single"/>
        </w:rPr>
        <w:fldChar w:fldCharType="separate"/>
      </w:r>
      <w:r>
        <w:rPr>
          <w:color w:val="0000FF"/>
          <w:u w:val="single"/>
        </w:rPr>
        <w:t>пункте 61</w:t>
      </w:r>
      <w:r>
        <w:rPr>
          <w:color w:val="0000FF"/>
          <w:u w:val="single"/>
        </w:rPr>
        <w:fldChar w:fldCharType="end"/>
      </w:r>
      <w:r>
        <w:t xml:space="preserve"> настоящего Порядка;</w:t>
      </w:r>
    </w:p>
    <w:p w14:paraId="E2000000">
      <w:pPr>
        <w:pStyle w:val="Style_3"/>
      </w:pPr>
      <w:r>
        <w:t>копии актов выполненных работ (услуг), копии путевых листов (представляется в случае, если перевозка осуществлялась без привлечения сторонних лиц);</w:t>
      </w:r>
    </w:p>
    <w:p w14:paraId="E3000000">
      <w:pPr>
        <w:pStyle w:val="Style_3"/>
      </w:pPr>
      <w:r>
        <w:t>копии документов, подтверждающих оплату услуг по доставке продовольственных товаров, включенных в Перечень (платежные документы, квитанции и иные документы, подтверждающие безналичный расчет);</w:t>
      </w:r>
    </w:p>
    <w:p w14:paraId="E4000000">
      <w:pPr>
        <w:pStyle w:val="Style_3"/>
      </w:pPr>
      <w:r>
        <w:t xml:space="preserve">копии товарно-транспортных накладных по </w:t>
      </w:r>
      <w:r>
        <w:rPr>
          <w:color w:val="0000FF"/>
          <w:u w:val="single"/>
        </w:rPr>
        <w:fldChar w:fldCharType="begin"/>
      </w:r>
      <w:r>
        <w:rPr>
          <w:color w:val="0000FF"/>
          <w:u w:val="single"/>
        </w:rPr>
        <w:instrText>HYPERLINK "https://internet.garant.ru/document/redirect/12107085/29000"</w:instrText>
      </w:r>
      <w:r>
        <w:rPr>
          <w:color w:val="0000FF"/>
          <w:u w:val="single"/>
        </w:rPr>
        <w:fldChar w:fldCharType="separate"/>
      </w:r>
      <w:r>
        <w:rPr>
          <w:color w:val="0000FF"/>
          <w:u w:val="single"/>
        </w:rPr>
        <w:t>форме N 1-Т</w:t>
      </w:r>
      <w:r>
        <w:rPr>
          <w:color w:val="0000FF"/>
          <w:u w:val="single"/>
        </w:rPr>
        <w:fldChar w:fldCharType="end"/>
      </w:r>
      <w:r>
        <w:t xml:space="preserve">, утвержденной </w:t>
      </w:r>
      <w:r>
        <w:rPr>
          <w:color w:val="0000FF"/>
          <w:u w:val="single"/>
        </w:rPr>
        <w:fldChar w:fldCharType="begin"/>
      </w:r>
      <w:r>
        <w:rPr>
          <w:color w:val="0000FF"/>
          <w:u w:val="single"/>
        </w:rPr>
        <w:instrText>HYPERLINK "https://internet.garant.ru/document/redirect/12107085/0"</w:instrText>
      </w:r>
      <w:r>
        <w:rPr>
          <w:color w:val="0000FF"/>
          <w:u w:val="single"/>
        </w:rPr>
        <w:fldChar w:fldCharType="separate"/>
      </w:r>
      <w:r>
        <w:rPr>
          <w:color w:val="0000FF"/>
          <w:u w:val="single"/>
        </w:rPr>
        <w:t>постановлением</w:t>
      </w:r>
      <w:r>
        <w:rPr>
          <w:color w:val="0000FF"/>
          <w:u w:val="single"/>
        </w:rPr>
        <w:fldChar w:fldCharType="end"/>
      </w:r>
      <w:r>
        <w:t xml:space="preserve"> Госкомстата России от 28.11.1997 N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(за исключением воздушных, речных, морских перевозок, перевозок с причалов и авиаплощадок до места назначения в пределах сельского населенного пункта);</w:t>
      </w:r>
    </w:p>
    <w:p w14:paraId="E5000000">
      <w:pPr>
        <w:pStyle w:val="Style_3"/>
      </w:pPr>
      <w:r>
        <w:t>копии коносаментов - при речных и морских перевозках; калькуляцию расходов и иные документы, подтверждающие собственные расходы на перевозку продовольственных товаров (представляется в случае, если перевозка осуществлялась без привлечения сторонних лиц);</w:t>
      </w:r>
    </w:p>
    <w:p w14:paraId="E6000000">
      <w:pPr>
        <w:pStyle w:val="Style_3"/>
      </w:pPr>
      <w:r>
        <w:t xml:space="preserve">копии грузовых накладных, оформленных в соответствии с </w:t>
      </w:r>
      <w:r>
        <w:rPr>
          <w:color w:val="0000FF"/>
          <w:u w:val="single"/>
        </w:rPr>
        <w:fldChar w:fldCharType="begin"/>
      </w:r>
      <w:r>
        <w:rPr>
          <w:color w:val="0000FF"/>
          <w:u w:val="single"/>
        </w:rPr>
        <w:instrText>HYPERLINK "https://internet.garant.ru/document/redirect/191872/0"</w:instrText>
      </w:r>
      <w:r>
        <w:rPr>
          <w:color w:val="0000FF"/>
          <w:u w:val="single"/>
        </w:rPr>
        <w:fldChar w:fldCharType="separate"/>
      </w:r>
      <w:r>
        <w:rPr>
          <w:color w:val="0000FF"/>
          <w:u w:val="single"/>
        </w:rPr>
        <w:t>приказом</w:t>
      </w:r>
      <w:r>
        <w:rPr>
          <w:color w:val="0000FF"/>
          <w:u w:val="single"/>
        </w:rPr>
        <w:fldChar w:fldCharType="end"/>
      </w:r>
      <w:r>
        <w:t xml:space="preserve"> Минтранса России от 28.06.2007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(при осуществлении авиационных услуг);</w:t>
      </w:r>
    </w:p>
    <w:p w14:paraId="E7000000">
      <w:pPr>
        <w:pStyle w:val="Style_3"/>
      </w:pPr>
      <w:r>
        <w:t>копии актов-отчетов (при осуществлении авиационных услуг);</w:t>
      </w:r>
    </w:p>
    <w:p w14:paraId="E8000000">
      <w:pPr>
        <w:pStyle w:val="Style_3"/>
      </w:pPr>
      <w:r>
        <w:t>копии заявок на полет (при осуществлении авиационных услуг).</w:t>
      </w:r>
    </w:p>
    <w:p w14:paraId="E9000000">
      <w:pPr>
        <w:pStyle w:val="Style_3"/>
      </w:pPr>
      <w:bookmarkStart w:id="88" w:name="anchor10061"/>
      <w:bookmarkEnd w:id="88"/>
      <w:r>
        <w:t>61. В договорах на оказание услуг (работ) по доставке товаров в обязательном порядке должна быть отражена следующая информация (за исключением воздушных, речных, железнодорожных и морских перевозок, а также автоперевозок в случаях доставки товаров в пределах населенного пункта от места разгрузки воздушным, речным и морским транспортом до места назначения):</w:t>
      </w:r>
    </w:p>
    <w:p w14:paraId="EA000000">
      <w:pPr>
        <w:pStyle w:val="Style_3"/>
      </w:pPr>
      <w:r>
        <w:t>вид транспортного средства и его максимальная грузоподъемность;</w:t>
      </w:r>
    </w:p>
    <w:p w14:paraId="EB000000">
      <w:pPr>
        <w:pStyle w:val="Style_3"/>
      </w:pPr>
      <w:r>
        <w:t>маршрут с указанием протяженности;</w:t>
      </w:r>
    </w:p>
    <w:p w14:paraId="EC000000">
      <w:pPr>
        <w:pStyle w:val="Style_3"/>
      </w:pPr>
      <w:r>
        <w:t>стоимость услуги (работы).</w:t>
      </w:r>
    </w:p>
    <w:p w14:paraId="ED000000">
      <w:pPr>
        <w:pStyle w:val="Style_3"/>
      </w:pPr>
      <w:r>
        <w:t xml:space="preserve">62. Документы, указанные в </w:t>
      </w:r>
      <w:r>
        <w:rPr>
          <w:color w:val="0000FF"/>
          <w:u w:val="single"/>
        </w:rPr>
        <w:t>пунктах 59</w:t>
      </w:r>
      <w:r>
        <w:t xml:space="preserve">,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60</w:t>
      </w:r>
      <w:r>
        <w:rPr>
          <w:color w:val="0000FF"/>
          <w:u w:val="single"/>
        </w:rPr>
        <w:fldChar w:fldCharType="end"/>
      </w:r>
      <w:r>
        <w:t xml:space="preserve">, </w:t>
      </w:r>
      <w:r>
        <w:rPr>
          <w:color w:val="0000FF"/>
          <w:u w:val="single"/>
        </w:rPr>
        <w:t>71.1</w:t>
      </w:r>
      <w:r>
        <w:t xml:space="preserve"> настоящего Порядка, представляются в Департамент на бумажном носителе посредством личного обращения или путем направления по почте, заполняются от руки или машинописным способом. Документы не должны быть заполнены карандашом. Тексты документов должны быть написаны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w14:paraId="EE000000">
      <w:pPr>
        <w:pStyle w:val="Style_3"/>
      </w:pPr>
      <w:r>
        <w:t xml:space="preserve">При направлении получателем субсидии документов, указанных в </w:t>
      </w:r>
      <w:r>
        <w:rPr>
          <w:color w:val="0000FF"/>
          <w:u w:val="single"/>
        </w:rPr>
        <w:t>пунктах 59</w:t>
      </w:r>
      <w:r>
        <w:t xml:space="preserve">,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60</w:t>
      </w:r>
      <w:r>
        <w:rPr>
          <w:color w:val="0000FF"/>
          <w:u w:val="single"/>
        </w:rPr>
        <w:fldChar w:fldCharType="end"/>
      </w:r>
      <w:r>
        <w:t xml:space="preserve"> настоящего Порядка, почтовым отправлением днем представления документов считается день отправления, указанный в оттиске штемпеля на почтовом отправлении.</w:t>
      </w:r>
    </w:p>
    <w:p w14:paraId="EF000000">
      <w:pPr>
        <w:pStyle w:val="Style_3"/>
      </w:pPr>
      <w:r>
        <w:t>Копии документов должны быть удостоверены нотариусом или другим должностным лицом, имеющим право совершать нотариальные действия, либо заверяются подписью руководителя юридического лица, индивидуальным предпринимателем с указанием его фамилии, имени, отчества (при наличии) и печатью (при наличии).</w:t>
      </w:r>
    </w:p>
    <w:p w14:paraId="F0000000">
      <w:pPr>
        <w:pStyle w:val="Style_3"/>
      </w:pPr>
      <w:r>
        <w:t>Копии документов, представленные с предъявлением подлинника, заверяются специалистом Департамента, осуществляющим прием документов.</w:t>
      </w:r>
    </w:p>
    <w:p w14:paraId="F1000000">
      <w:pPr>
        <w:pStyle w:val="Style_3"/>
      </w:pPr>
      <w:bookmarkStart w:id="89" w:name="anchor10063"/>
      <w:bookmarkEnd w:id="89"/>
      <w:r>
        <w:t>63. От имени получателя субсидии вправе выступать:</w:t>
      </w:r>
    </w:p>
    <w:p w14:paraId="F2000000">
      <w:pPr>
        <w:pStyle w:val="Style_3"/>
      </w:pPr>
      <w:r>
        <w:t>1) руководитель юридического лица, индивидуальный предприниматель;</w:t>
      </w:r>
    </w:p>
    <w:p w14:paraId="F3000000">
      <w:pPr>
        <w:pStyle w:val="Style_3"/>
      </w:pPr>
      <w:r>
        <w:t>2) представитель при наличии доверенности, подписанной руководителем юридического лица, индивидуальным предпринимателем.</w:t>
      </w:r>
    </w:p>
    <w:p w14:paraId="F4000000">
      <w:pPr>
        <w:pStyle w:val="Style_3"/>
      </w:pPr>
      <w:bookmarkStart w:id="90" w:name="anchor10064"/>
      <w:bookmarkEnd w:id="90"/>
      <w:r>
        <w:t xml:space="preserve">64. Департамент регистрирует представленные получателем субсидии документы, указанные в </w:t>
      </w:r>
      <w:r>
        <w:rPr>
          <w:color w:val="0000FF"/>
          <w:u w:val="single"/>
        </w:rPr>
        <w:t>пунктах 59</w:t>
      </w:r>
      <w:r>
        <w:t xml:space="preserve">,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60</w:t>
      </w:r>
      <w:r>
        <w:rPr>
          <w:color w:val="0000FF"/>
          <w:u w:val="single"/>
        </w:rPr>
        <w:fldChar w:fldCharType="end"/>
      </w:r>
      <w:r>
        <w:t xml:space="preserve"> настоящего Порядка, в день их поступления.</w:t>
      </w:r>
    </w:p>
    <w:p w14:paraId="F5000000">
      <w:pPr>
        <w:pStyle w:val="Style_3"/>
      </w:pPr>
      <w:r>
        <w:t xml:space="preserve">Департамент в течение двадцати рабочих дней осуществляет проверку представленных получателем субсидии документов и принимает решение о предоставлении субсидии либо об отказе в предоставлении субсидии по основаниям, указанным в </w:t>
      </w:r>
      <w:r>
        <w:rPr>
          <w:color w:val="0000FF"/>
          <w:u w:val="single"/>
        </w:rPr>
        <w:fldChar w:fldCharType="begin"/>
      </w:r>
      <w:r>
        <w:rPr>
          <w:color w:val="0000FF"/>
          <w:u w:val="single"/>
        </w:rPr>
        <w:instrText>HYPERLINK \l "anchor10067"</w:instrText>
      </w:r>
      <w:r>
        <w:rPr>
          <w:color w:val="0000FF"/>
          <w:u w:val="single"/>
        </w:rPr>
        <w:fldChar w:fldCharType="separate"/>
      </w:r>
      <w:r>
        <w:rPr>
          <w:color w:val="0000FF"/>
          <w:u w:val="single"/>
        </w:rPr>
        <w:t>пункте 67</w:t>
      </w:r>
      <w:r>
        <w:rPr>
          <w:color w:val="0000FF"/>
          <w:u w:val="single"/>
        </w:rPr>
        <w:fldChar w:fldCharType="end"/>
      </w:r>
      <w:r>
        <w:t xml:space="preserve"> настоящего Порядка.</w:t>
      </w:r>
    </w:p>
    <w:p w14:paraId="F6000000">
      <w:pPr>
        <w:pStyle w:val="Style_3"/>
      </w:pPr>
      <w:r>
        <w:t xml:space="preserve">Документы, указанные в </w:t>
      </w:r>
      <w:r>
        <w:rPr>
          <w:color w:val="0000FF"/>
          <w:u w:val="single"/>
        </w:rPr>
        <w:t>пунктах 59</w:t>
      </w:r>
      <w:r>
        <w:t xml:space="preserve">,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60</w:t>
      </w:r>
      <w:r>
        <w:rPr>
          <w:color w:val="0000FF"/>
          <w:u w:val="single"/>
        </w:rPr>
        <w:fldChar w:fldCharType="end"/>
      </w:r>
      <w:r>
        <w:t xml:space="preserve"> настоящего Порядка, возврату не подлежат и хранятся в Департаменте.</w:t>
      </w:r>
    </w:p>
    <w:p w14:paraId="F7000000">
      <w:pPr>
        <w:pStyle w:val="Style_3"/>
      </w:pPr>
      <w:bookmarkStart w:id="91" w:name="anchor10065"/>
      <w:bookmarkEnd w:id="91"/>
      <w:r>
        <w:t>65. Перечисление субсидии осуществляется не позднее десятого рабочего дня, следующего за днем принятия Департаментом решения о предоставлении субсидии.</w:t>
      </w:r>
    </w:p>
    <w:p w14:paraId="F8000000">
      <w:pPr>
        <w:pStyle w:val="Style_3"/>
      </w:pPr>
      <w:r>
        <w:t xml:space="preserve">66. Перечисление субсидий осуществляется на счета, открытые получателям субсидий в учреждениях Центрального банка Российской Федерации или кредитных организациях (если иное не установлено </w:t>
      </w:r>
      <w:r>
        <w:rPr>
          <w:color w:val="0000FF"/>
          <w:u w:val="single"/>
        </w:rPr>
        <w:fldChar w:fldCharType="begin"/>
      </w:r>
      <w:r>
        <w:rPr>
          <w:color w:val="0000FF"/>
          <w:u w:val="single"/>
        </w:rPr>
        <w:instrText>HYPERLINK "https://internet.garant.ru/document/redirect/12112604/4"</w:instrText>
      </w:r>
      <w:r>
        <w:rPr>
          <w:color w:val="0000FF"/>
          <w:u w:val="single"/>
        </w:rPr>
        <w:fldChar w:fldCharType="separate"/>
      </w:r>
      <w:r>
        <w:rPr>
          <w:color w:val="0000FF"/>
          <w:u w:val="single"/>
        </w:rPr>
        <w:t>бюджетным законодательством</w:t>
      </w:r>
      <w:r>
        <w:rPr>
          <w:color w:val="0000FF"/>
          <w:u w:val="single"/>
        </w:rPr>
        <w:fldChar w:fldCharType="end"/>
      </w:r>
      <w:r>
        <w:t xml:space="preserve"> Российской Федерации).</w:t>
      </w:r>
    </w:p>
    <w:p w14:paraId="F9000000">
      <w:pPr>
        <w:pStyle w:val="Style_3"/>
      </w:pPr>
      <w:bookmarkStart w:id="92" w:name="anchor10067"/>
      <w:bookmarkEnd w:id="92"/>
      <w:r>
        <w:t>67. Основания для отказа получателю субсидии в предоставлении субсидии:</w:t>
      </w:r>
    </w:p>
    <w:p w14:paraId="FA000000">
      <w:pPr>
        <w:pStyle w:val="Style_3"/>
      </w:pPr>
      <w:bookmarkStart w:id="93" w:name="anchor100671"/>
      <w:bookmarkEnd w:id="93"/>
      <w:r>
        <w:t xml:space="preserve">1) непредставление (представление не в полном объеме) документов, предусмотренных </w:t>
      </w:r>
      <w:r>
        <w:rPr>
          <w:color w:val="0000FF"/>
          <w:u w:val="single"/>
        </w:rPr>
        <w:t>пунктами 59</w:t>
      </w:r>
      <w:r>
        <w:t xml:space="preserve">, </w:t>
      </w:r>
      <w:r>
        <w:rPr>
          <w:color w:val="0000FF"/>
          <w:u w:val="single"/>
        </w:rPr>
        <w:fldChar w:fldCharType="begin"/>
      </w:r>
      <w:r>
        <w:rPr>
          <w:color w:val="0000FF"/>
          <w:u w:val="single"/>
        </w:rPr>
        <w:instrText>HYPERLINK \l "anchor10060"</w:instrText>
      </w:r>
      <w:r>
        <w:rPr>
          <w:color w:val="0000FF"/>
          <w:u w:val="single"/>
        </w:rPr>
        <w:fldChar w:fldCharType="separate"/>
      </w:r>
      <w:r>
        <w:rPr>
          <w:color w:val="0000FF"/>
          <w:u w:val="single"/>
        </w:rPr>
        <w:t>60</w:t>
      </w:r>
      <w:r>
        <w:rPr>
          <w:color w:val="0000FF"/>
          <w:u w:val="single"/>
        </w:rPr>
        <w:fldChar w:fldCharType="end"/>
      </w:r>
      <w:r>
        <w:t xml:space="preserve"> настоящего Порядка, или несоблюдение получателем субсидии требований, установленных </w:t>
      </w:r>
      <w:r>
        <w:rPr>
          <w:color w:val="0000FF"/>
          <w:u w:val="single"/>
        </w:rPr>
        <w:fldChar w:fldCharType="begin"/>
      </w:r>
      <w:r>
        <w:rPr>
          <w:color w:val="0000FF"/>
          <w:u w:val="single"/>
        </w:rPr>
        <w:instrText>HYPERLINK \l "anchor10061"</w:instrText>
      </w:r>
      <w:r>
        <w:rPr>
          <w:color w:val="0000FF"/>
          <w:u w:val="single"/>
        </w:rPr>
        <w:fldChar w:fldCharType="separate"/>
      </w:r>
      <w:r>
        <w:rPr>
          <w:color w:val="0000FF"/>
          <w:u w:val="single"/>
        </w:rPr>
        <w:t>пунктами 61-63</w:t>
      </w:r>
      <w:r>
        <w:rPr>
          <w:color w:val="0000FF"/>
          <w:u w:val="single"/>
        </w:rPr>
        <w:fldChar w:fldCharType="end"/>
      </w:r>
      <w:r>
        <w:t xml:space="preserve"> настоящего Порядка;</w:t>
      </w:r>
    </w:p>
    <w:p w14:paraId="FB000000">
      <w:pPr>
        <w:pStyle w:val="Style_3"/>
      </w:pPr>
      <w:bookmarkStart w:id="94" w:name="anchor100672"/>
      <w:bookmarkEnd w:id="94"/>
      <w:r>
        <w:t>2) установление факта недостоверности представленной получателем субсидии информации (части информации);</w:t>
      </w:r>
    </w:p>
    <w:p w14:paraId="FC000000">
      <w:pPr>
        <w:pStyle w:val="Style_3"/>
      </w:pPr>
      <w:r>
        <w:t xml:space="preserve">3) несоблюдение срока представления документов, установленного </w:t>
      </w:r>
      <w:r>
        <w:rPr>
          <w:color w:val="0000FF"/>
          <w:u w:val="single"/>
        </w:rPr>
        <w:t>пунктом 59</w:t>
      </w:r>
      <w:r>
        <w:t xml:space="preserve"> настоящего Порядка;</w:t>
      </w:r>
    </w:p>
    <w:p w14:paraId="FD000000">
      <w:pPr>
        <w:pStyle w:val="Style_3"/>
      </w:pPr>
      <w:r>
        <w:t xml:space="preserve">4) не соблюдение условий предоставления субсидий, установленных </w:t>
      </w:r>
      <w:r>
        <w:rPr>
          <w:color w:val="0000FF"/>
          <w:u w:val="single"/>
        </w:rPr>
        <w:t>пунктом 58</w:t>
      </w:r>
      <w:r>
        <w:t xml:space="preserve"> настоящего Порядка.</w:t>
      </w:r>
    </w:p>
    <w:p w14:paraId="FE000000">
      <w:pPr>
        <w:pStyle w:val="Style_3"/>
      </w:pPr>
      <w:bookmarkStart w:id="95" w:name="anchor10068"/>
      <w:bookmarkEnd w:id="95"/>
      <w:r>
        <w:t xml:space="preserve">68. Департамент вправе принять решение о полном или частичном отказе по основаниям, указанным в </w:t>
      </w:r>
      <w:r>
        <w:rPr>
          <w:color w:val="0000FF"/>
          <w:u w:val="single"/>
        </w:rPr>
        <w:fldChar w:fldCharType="begin"/>
      </w:r>
      <w:r>
        <w:rPr>
          <w:color w:val="0000FF"/>
          <w:u w:val="single"/>
        </w:rPr>
        <w:instrText>HYPERLINK \l "anchor100671"</w:instrText>
      </w:r>
      <w:r>
        <w:rPr>
          <w:color w:val="0000FF"/>
          <w:u w:val="single"/>
        </w:rPr>
        <w:fldChar w:fldCharType="separate"/>
      </w:r>
      <w:r>
        <w:rPr>
          <w:color w:val="0000FF"/>
          <w:u w:val="single"/>
        </w:rPr>
        <w:t>подпунктах 1</w:t>
      </w:r>
      <w:r>
        <w:rPr>
          <w:color w:val="0000FF"/>
          <w:u w:val="single"/>
        </w:rPr>
        <w:fldChar w:fldCharType="end"/>
      </w:r>
      <w:r>
        <w:t xml:space="preserve">, </w:t>
      </w:r>
      <w:r>
        <w:rPr>
          <w:color w:val="0000FF"/>
          <w:u w:val="single"/>
        </w:rPr>
        <w:fldChar w:fldCharType="begin"/>
      </w:r>
      <w:r>
        <w:rPr>
          <w:color w:val="0000FF"/>
          <w:u w:val="single"/>
        </w:rPr>
        <w:instrText>HYPERLINK \l "anchor100672"</w:instrText>
      </w:r>
      <w:r>
        <w:rPr>
          <w:color w:val="0000FF"/>
          <w:u w:val="single"/>
        </w:rPr>
        <w:fldChar w:fldCharType="separate"/>
      </w:r>
      <w:r>
        <w:rPr>
          <w:color w:val="0000FF"/>
          <w:u w:val="single"/>
        </w:rPr>
        <w:t>2 пункта 67</w:t>
      </w:r>
      <w:r>
        <w:rPr>
          <w:color w:val="0000FF"/>
          <w:u w:val="single"/>
        </w:rPr>
        <w:fldChar w:fldCharType="end"/>
      </w:r>
      <w:r>
        <w:t xml:space="preserve"> настоящего Порядка.</w:t>
      </w:r>
    </w:p>
    <w:p w14:paraId="FF000000">
      <w:pPr>
        <w:pStyle w:val="Style_2"/>
        <w:ind/>
        <w:outlineLvl w:val="0"/>
      </w:pPr>
      <w:bookmarkStart w:id="96" w:name="anchor300"/>
      <w:bookmarkEnd w:id="96"/>
      <w:r>
        <w:t>Раздел III Предоставление отчетности, осуществление контроля (мониторинга) за соблюдением условий и порядка предоставления субсидий и ответственность за их нарушение</w:t>
      </w:r>
    </w:p>
    <w:p w14:paraId="00010000">
      <w:pPr>
        <w:pStyle w:val="Style_3"/>
      </w:pPr>
      <w:bookmarkStart w:id="97" w:name="anchor10069"/>
      <w:bookmarkEnd w:id="97"/>
      <w:r>
        <w:t>69. В целях контроля за соблюдением условий и порядка предоставления субсидий и ответственности за их нарушение в отношении получателей субсидий проводятся проверки:</w:t>
      </w:r>
    </w:p>
    <w:p w14:paraId="01010000">
      <w:pPr>
        <w:pStyle w:val="Style_3"/>
      </w:pPr>
      <w:bookmarkStart w:id="98" w:name="anchor100691"/>
      <w:bookmarkEnd w:id="98"/>
      <w:r>
        <w:t>1) Департаментом в части соблюдения условий и порядка предоставления субсидий, в том числе в части достижения результата предоставления субсидий;</w:t>
      </w:r>
    </w:p>
    <w:p w14:paraId="02010000">
      <w:pPr>
        <w:pStyle w:val="Style_3"/>
      </w:pPr>
      <w:bookmarkStart w:id="99" w:name="anchor100692"/>
      <w:bookmarkEnd w:id="99"/>
      <w:r>
        <w:t xml:space="preserve">2) органами государственного финансового контроля в соответствии со </w:t>
      </w:r>
      <w:r>
        <w:rPr>
          <w:color w:val="0000FF"/>
          <w:u w:val="single"/>
        </w:rPr>
        <w:fldChar w:fldCharType="begin"/>
      </w:r>
      <w:r>
        <w:rPr>
          <w:color w:val="0000FF"/>
          <w:u w:val="single"/>
        </w:rPr>
        <w:instrText>HYPERLINK "https://internet.garant.ru/document/redirect/12112604/2681"</w:instrText>
      </w:r>
      <w:r>
        <w:rPr>
          <w:color w:val="0000FF"/>
          <w:u w:val="single"/>
        </w:rPr>
        <w:fldChar w:fldCharType="separate"/>
      </w:r>
      <w:r>
        <w:rPr>
          <w:color w:val="0000FF"/>
          <w:u w:val="single"/>
        </w:rPr>
        <w:t>статьями 268.1</w:t>
      </w:r>
      <w:r>
        <w:rPr>
          <w:color w:val="0000FF"/>
          <w:u w:val="single"/>
        </w:rPr>
        <w:fldChar w:fldCharType="end"/>
      </w:r>
      <w:r>
        <w:t xml:space="preserve"> и </w:t>
      </w:r>
      <w:r>
        <w:rPr>
          <w:color w:val="0000FF"/>
          <w:u w:val="single"/>
        </w:rPr>
        <w:fldChar w:fldCharType="begin"/>
      </w:r>
      <w:r>
        <w:rPr>
          <w:color w:val="0000FF"/>
          <w:u w:val="single"/>
        </w:rPr>
        <w:instrText>HYPERLINK "https://internet.garant.ru/document/redirect/12112604/2692"</w:instrText>
      </w:r>
      <w:r>
        <w:rPr>
          <w:color w:val="0000FF"/>
          <w:u w:val="single"/>
        </w:rPr>
        <w:fldChar w:fldCharType="separate"/>
      </w:r>
      <w:r>
        <w:rPr>
          <w:color w:val="0000FF"/>
          <w:u w:val="single"/>
        </w:rPr>
        <w:t>269.2</w:t>
      </w:r>
      <w:r>
        <w:rPr>
          <w:color w:val="0000FF"/>
          <w:u w:val="single"/>
        </w:rPr>
        <w:fldChar w:fldCharType="end"/>
      </w:r>
      <w:r>
        <w:t xml:space="preserve"> Бюджетного кодекса Российской Федерации.</w:t>
      </w:r>
    </w:p>
    <w:p w14:paraId="03010000">
      <w:pPr>
        <w:pStyle w:val="Style_3"/>
      </w:pPr>
      <w:bookmarkStart w:id="100" w:name="anchor10070"/>
      <w:bookmarkEnd w:id="100"/>
      <w:r>
        <w:t xml:space="preserve">70. Департамент осуществляет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w:t>
      </w:r>
      <w:r>
        <w:t>формам</w:t>
      </w:r>
      <w:r>
        <w:t xml:space="preserve">, которые установлены </w:t>
      </w:r>
      <w:r>
        <w:rPr>
          <w:color w:val="0000FF"/>
          <w:u w:val="single"/>
        </w:rPr>
        <w:fldChar w:fldCharType="begin"/>
      </w:r>
      <w:r>
        <w:rPr>
          <w:color w:val="0000FF"/>
          <w:u w:val="single"/>
        </w:rPr>
        <w:instrText>HYPERLINK "https://internet.garant.ru/document/redirect/409309666/1000"</w:instrText>
      </w:r>
      <w:r>
        <w:rPr>
          <w:color w:val="0000FF"/>
          <w:u w:val="single"/>
        </w:rPr>
        <w:fldChar w:fldCharType="separate"/>
      </w:r>
      <w:r>
        <w:rPr>
          <w:color w:val="0000FF"/>
          <w:u w:val="single"/>
        </w:rPr>
        <w:t>Порядком</w:t>
      </w:r>
      <w:r>
        <w:rPr>
          <w:color w:val="0000FF"/>
          <w:u w:val="single"/>
        </w:rPr>
        <w:fldChar w:fldCharType="end"/>
      </w:r>
      <w:r>
        <w:t xml:space="preserve">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w:t>
      </w:r>
      <w:r>
        <w:rPr>
          <w:color w:val="0000FF"/>
          <w:u w:val="single"/>
        </w:rPr>
        <w:fldChar w:fldCharType="begin"/>
      </w:r>
      <w:r>
        <w:rPr>
          <w:color w:val="0000FF"/>
          <w:u w:val="single"/>
        </w:rPr>
        <w:instrText>HYPERLINK "https://internet.garant.ru/document/redirect/409309666/0"</w:instrText>
      </w:r>
      <w:r>
        <w:rPr>
          <w:color w:val="0000FF"/>
          <w:u w:val="single"/>
        </w:rPr>
        <w:fldChar w:fldCharType="separate"/>
      </w:r>
      <w:r>
        <w:rPr>
          <w:color w:val="0000FF"/>
          <w:u w:val="single"/>
        </w:rPr>
        <w:t>приказом</w:t>
      </w:r>
      <w:r>
        <w:rPr>
          <w:color w:val="0000FF"/>
          <w:u w:val="single"/>
        </w:rPr>
        <w:fldChar w:fldCharType="end"/>
      </w:r>
      <w:r>
        <w:t xml:space="preserve"> Министерства финансов Российской Федерации от 27.04.2024 N 53н.</w:t>
      </w:r>
    </w:p>
    <w:p w14:paraId="04010000">
      <w:pPr>
        <w:pStyle w:val="Style_3"/>
      </w:pPr>
      <w:bookmarkStart w:id="101" w:name="anchor10071"/>
      <w:bookmarkEnd w:id="101"/>
      <w:r>
        <w:t>71. Получатель субсидии ежеквартально не позднее сорока дней после отчетного квартала, посредством личного обращения или почтового отправления представляет в Департамент отчет о достижении значений результатов предоставления субсидии, подготовленный по форме, определенной Соглашением.</w:t>
      </w:r>
    </w:p>
    <w:p w14:paraId="05010000">
      <w:pPr>
        <w:pStyle w:val="Style_3"/>
      </w:pPr>
      <w:r>
        <w:t xml:space="preserve">71.1. Получатель субсидии, являющийся плательщиком налога на добавленную стоимость, в срок, определенный </w:t>
      </w:r>
      <w:r>
        <w:rPr>
          <w:color w:val="0000FF"/>
          <w:u w:val="single"/>
        </w:rPr>
        <w:fldChar w:fldCharType="begin"/>
      </w:r>
      <w:r>
        <w:rPr>
          <w:color w:val="0000FF"/>
          <w:u w:val="single"/>
        </w:rPr>
        <w:instrText>HYPERLINK \l "anchor10071"</w:instrText>
      </w:r>
      <w:r>
        <w:rPr>
          <w:color w:val="0000FF"/>
          <w:u w:val="single"/>
        </w:rPr>
        <w:fldChar w:fldCharType="separate"/>
      </w:r>
      <w:r>
        <w:rPr>
          <w:color w:val="0000FF"/>
          <w:u w:val="single"/>
        </w:rPr>
        <w:t>пунктом 71</w:t>
      </w:r>
      <w:r>
        <w:rPr>
          <w:color w:val="0000FF"/>
          <w:u w:val="single"/>
        </w:rPr>
        <w:fldChar w:fldCharType="end"/>
      </w:r>
      <w:r>
        <w:t xml:space="preserve"> настоящего Порядка, представляет в Департамент с соблюдением требований, установленных </w:t>
      </w:r>
      <w:r>
        <w:rPr>
          <w:color w:val="0000FF"/>
          <w:u w:val="single"/>
        </w:rPr>
        <w:t>пунктом 62</w:t>
      </w:r>
      <w:r>
        <w:t xml:space="preserve"> настоящего Порядка, копии титульного листа, разделов 1, 2, 3 налоговой декларации по налогу на добавленную стоимость за отчетный квартал с отметкой налогового органа о принятии налоговой декларации по налогу на добавленную стоимость за отчетный квартал.</w:t>
      </w:r>
    </w:p>
    <w:p w14:paraId="06010000">
      <w:pPr>
        <w:pStyle w:val="Style_3"/>
      </w:pPr>
      <w:bookmarkStart w:id="102" w:name="anchor10072"/>
      <w:bookmarkEnd w:id="102"/>
      <w:r>
        <w:t xml:space="preserve">72. Департамент осуществляет проверку и принятие отчета, указанного в </w:t>
      </w:r>
      <w:r>
        <w:rPr>
          <w:color w:val="0000FF"/>
          <w:u w:val="single"/>
        </w:rPr>
        <w:fldChar w:fldCharType="begin"/>
      </w:r>
      <w:r>
        <w:rPr>
          <w:color w:val="0000FF"/>
          <w:u w:val="single"/>
        </w:rPr>
        <w:instrText>HYPERLINK \l "anchor10071"</w:instrText>
      </w:r>
      <w:r>
        <w:rPr>
          <w:color w:val="0000FF"/>
          <w:u w:val="single"/>
        </w:rPr>
        <w:fldChar w:fldCharType="separate"/>
      </w:r>
      <w:r>
        <w:rPr>
          <w:color w:val="0000FF"/>
          <w:u w:val="single"/>
        </w:rPr>
        <w:t>пункте 71</w:t>
      </w:r>
      <w:r>
        <w:rPr>
          <w:color w:val="0000FF"/>
          <w:u w:val="single"/>
        </w:rPr>
        <w:fldChar w:fldCharType="end"/>
      </w:r>
      <w:r>
        <w:t xml:space="preserve"> настоящего Порядка, в срок, не превышающий десяти рабочих дней со дня их представления. В указанный срок в случае выявления Департаментом в отчете недостоверных сведений отчет не принимается и возвращается почтовым отправлением получателю субсидии на доработку. Откорректированный отчет должен быть направлен посредством личного обращения или почтовым отправлением в Департамент получателем субсидии в срок не позднее трех рабочих дней со дня получения возвращенного отчета.</w:t>
      </w:r>
    </w:p>
    <w:p w14:paraId="07010000">
      <w:pPr>
        <w:pStyle w:val="Style_3"/>
      </w:pPr>
      <w:bookmarkStart w:id="103" w:name="anchor10073"/>
      <w:bookmarkEnd w:id="103"/>
      <w:r>
        <w:t>73. Контроль за соблюдением получателями субсидии условий и порядка предоставления субсидии, в том числе в части достижения результата предоставления субсидии, осуществляется путем проведения Департаментом проверки документов и отчетов, представляемых получателем субсидии в соответствии с настоящим Порядком.</w:t>
      </w:r>
    </w:p>
    <w:p w14:paraId="08010000">
      <w:pPr>
        <w:pStyle w:val="Style_3"/>
      </w:pPr>
      <w:r>
        <w:t>Ответственность за достоверность представляемых в Департамент сведений, документов и соблюдение условий, установленных настоящим Порядком и Соглашением, возлагается на получателей субсидии.</w:t>
      </w:r>
    </w:p>
    <w:p w14:paraId="09010000">
      <w:pPr>
        <w:pStyle w:val="Style_3"/>
      </w:pPr>
      <w:bookmarkStart w:id="104" w:name="anchor10074"/>
      <w:bookmarkEnd w:id="104"/>
      <w:r>
        <w:t xml:space="preserve">74. В случае если получателем субсидии по состоянию на 31 декабря года предоставления субсидии не достигнуты установленные в Соглашении значения результата(ов) предоставления субсидии, объем средств, подлежащий возврату (V </w:t>
      </w:r>
      <w:r>
        <w:t>возврата</w:t>
      </w:r>
      <w:r>
        <w:t>), рассчитывается по формуле:</w:t>
      </w:r>
    </w:p>
    <w:p w14:paraId="0A010000">
      <w:pPr>
        <w:pStyle w:val="Style_3"/>
      </w:pPr>
    </w:p>
    <w:p w14:paraId="0B010000">
      <w:pPr>
        <w:pStyle w:val="Style_3"/>
        <w:ind w:firstLine="680"/>
        <w:jc w:val="center"/>
      </w:pPr>
      <w:r>
        <w:t>Vвозврата = (V</w:t>
      </w:r>
      <w:r>
        <w:t> средств</w:t>
      </w:r>
      <w:r>
        <w:t xml:space="preserve"> x k) x 0,01,</w:t>
      </w:r>
    </w:p>
    <w:p w14:paraId="0C010000">
      <w:pPr>
        <w:pStyle w:val="Style_3"/>
      </w:pPr>
    </w:p>
    <w:p w14:paraId="0D010000">
      <w:pPr>
        <w:pStyle w:val="Style_3"/>
      </w:pPr>
      <w:r>
        <w:t>где:</w:t>
      </w:r>
    </w:p>
    <w:p w14:paraId="0E010000">
      <w:pPr>
        <w:pStyle w:val="Style_3"/>
      </w:pPr>
      <w:r>
        <w:t>V</w:t>
      </w:r>
      <w:r>
        <w:t xml:space="preserve"> средств </w:t>
      </w:r>
      <w:r>
        <w:t>- размер субсидии, предоставленной получателю;</w:t>
      </w:r>
    </w:p>
    <w:p w14:paraId="0F010000">
      <w:pPr>
        <w:pStyle w:val="Style_3"/>
      </w:pPr>
      <w:r>
        <w:t>k - коэффициент возврата.</w:t>
      </w:r>
    </w:p>
    <w:p w14:paraId="10010000">
      <w:pPr>
        <w:pStyle w:val="Style_3"/>
      </w:pPr>
    </w:p>
    <w:p w14:paraId="11010000">
      <w:pPr>
        <w:pStyle w:val="Style_3"/>
      </w:pPr>
      <w:r>
        <w:t>Коэффициент возврата (k) определяется по формуле:</w:t>
      </w:r>
    </w:p>
    <w:p w14:paraId="12010000">
      <w:pPr>
        <w:pStyle w:val="Style_3"/>
      </w:pPr>
    </w:p>
    <w:p w14:paraId="13010000">
      <w:pPr>
        <w:pStyle w:val="Style_3"/>
        <w:ind w:firstLine="680"/>
        <w:jc w:val="center"/>
      </w:pPr>
      <w:r>
        <w:t>k = 1 - Ti / Si,</w:t>
      </w:r>
    </w:p>
    <w:p w14:paraId="14010000">
      <w:pPr>
        <w:pStyle w:val="Style_3"/>
      </w:pPr>
    </w:p>
    <w:p w14:paraId="15010000">
      <w:pPr>
        <w:pStyle w:val="Style_3"/>
      </w:pPr>
      <w:r>
        <w:t>где:</w:t>
      </w:r>
    </w:p>
    <w:p w14:paraId="16010000">
      <w:pPr>
        <w:pStyle w:val="Style_3"/>
      </w:pPr>
      <w:r>
        <w:t>Ti - фактически достигнутое значение i-го результата на отчетную дату;</w:t>
      </w:r>
    </w:p>
    <w:p w14:paraId="17010000">
      <w:pPr>
        <w:pStyle w:val="Style_3"/>
      </w:pPr>
      <w:r>
        <w:t>Si - плановое значение i-го результата, установленное Соглашением.</w:t>
      </w:r>
    </w:p>
    <w:p w14:paraId="18010000">
      <w:pPr>
        <w:pStyle w:val="Style_3"/>
      </w:pPr>
      <w:r>
        <w:t>При расчете коэффициента возврата используются только положительные значения коэффициента, отражающего уровень недостижения i-го результата получения субсидий.</w:t>
      </w:r>
    </w:p>
    <w:p w14:paraId="19010000">
      <w:pPr>
        <w:pStyle w:val="Style_3"/>
      </w:pPr>
      <w:r>
        <w:t>75. Решение о возврате средств субсидии не принимается Департаментом в случае, если установленные в Соглашении значения результата предоставления субсидии, не достигнуты в силу документально подтвержденного наступления обстоятельств непреодолимой силы, препятствующих его достижению:</w:t>
      </w:r>
    </w:p>
    <w:p w14:paraId="1A010000">
      <w:pPr>
        <w:pStyle w:val="Style_3"/>
      </w:pPr>
      <w:bookmarkStart w:id="105" w:name="anchor100751"/>
      <w:bookmarkEnd w:id="105"/>
      <w:r>
        <w:t>1)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Ненецкого автономного округа и (или) органа местного самоуправления;</w:t>
      </w:r>
    </w:p>
    <w:p w14:paraId="1B010000">
      <w:pPr>
        <w:pStyle w:val="Style_3"/>
      </w:pPr>
      <w:bookmarkStart w:id="106" w:name="anchor100752"/>
      <w:bookmarkEnd w:id="106"/>
      <w:r>
        <w:t>2)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Ненецкого автономного округа;</w:t>
      </w:r>
    </w:p>
    <w:p w14:paraId="1C010000">
      <w:pPr>
        <w:pStyle w:val="Style_3"/>
      </w:pPr>
      <w:bookmarkStart w:id="107" w:name="anchor100753"/>
      <w:bookmarkEnd w:id="107"/>
      <w:r>
        <w:t>3)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1D010000">
      <w:pPr>
        <w:pStyle w:val="Style_3"/>
      </w:pPr>
      <w:bookmarkStart w:id="108" w:name="anchor10076"/>
      <w:bookmarkEnd w:id="108"/>
      <w:r>
        <w:t xml:space="preserve">76. В случае нарушения получателем субсидии условий и порядка, за исключением </w:t>
      </w:r>
      <w:r>
        <w:rPr>
          <w:color w:val="0000FF"/>
          <w:u w:val="single"/>
        </w:rPr>
        <w:t>пункта 75</w:t>
      </w:r>
      <w:r>
        <w:t xml:space="preserve"> настоящего Порядка, предоставления субсидии, в том числе в части недостижения значения результата предоставления субсидии, установленных в Соглашении, выявленного по результатам проверок, осуществленных Департаментом и органами государственного финансового контроля, средства субсидии подлежат возврату в окружной бюджет в размере выявленных нарушений.</w:t>
      </w:r>
    </w:p>
    <w:p w14:paraId="1E010000">
      <w:pPr>
        <w:pStyle w:val="Style_3"/>
      </w:pPr>
      <w:bookmarkStart w:id="109" w:name="anchor10077"/>
      <w:bookmarkEnd w:id="109"/>
      <w:r>
        <w:t>77. Департамент в течение десяти рабочих дней со дня выявления нарушений получателем субсидии условий и порядка предоставления субсидии, направляет получателю субсидии требование о возврате средств субсидии, которое направляется почтовым отправлением с уведомлением о вручении или по электронной почте (если получатель указал на такой способ в заявлении), либо, в случае явки получателя, вручается лично.</w:t>
      </w:r>
    </w:p>
    <w:p w14:paraId="1F010000">
      <w:pPr>
        <w:pStyle w:val="Style_3"/>
      </w:pPr>
      <w:r>
        <w:t xml:space="preserve">78. Средства субсидии, подлежащие возврату в соответствии с </w:t>
      </w:r>
      <w:r>
        <w:rPr>
          <w:color w:val="0000FF"/>
          <w:u w:val="single"/>
        </w:rPr>
        <w:fldChar w:fldCharType="begin"/>
      </w:r>
      <w:r>
        <w:rPr>
          <w:color w:val="0000FF"/>
          <w:u w:val="single"/>
        </w:rPr>
        <w:instrText>HYPERLINK \l "anchor10074"</w:instrText>
      </w:r>
      <w:r>
        <w:rPr>
          <w:color w:val="0000FF"/>
          <w:u w:val="single"/>
        </w:rPr>
        <w:fldChar w:fldCharType="separate"/>
      </w:r>
      <w:r>
        <w:rPr>
          <w:color w:val="0000FF"/>
          <w:u w:val="single"/>
        </w:rPr>
        <w:t>пунктом 74</w:t>
      </w:r>
      <w:r>
        <w:rPr>
          <w:color w:val="0000FF"/>
          <w:u w:val="single"/>
        </w:rPr>
        <w:fldChar w:fldCharType="end"/>
      </w:r>
      <w:r>
        <w:t xml:space="preserve"> настоящего Порядка, подлежат перечислению на счет Департамента в срок не позднее десяти календарных дней со дня получения соответствующего требования получателем субсидии. В случае неисполнения получателем субсидии обязательств по возврату средств субсидии взыскание средств субсидии осуществляется в соответствии с законодательством Российской Федерации.</w:t>
      </w:r>
    </w:p>
    <w:p w14:paraId="20010000">
      <w:pPr>
        <w:pStyle w:val="Style_3"/>
      </w:pPr>
      <w:bookmarkStart w:id="110" w:name="anchor10079"/>
      <w:bookmarkEnd w:id="110"/>
      <w:r>
        <w:t xml:space="preserve">79. В случае выявления нарушений условий и порядка предоставления субсидий органами государственного финансового контроля направление представления и (или) предписания органа государственного финансового контроля, а также сроки возврата средств субсидии определяются в соответствии с </w:t>
      </w:r>
      <w:r>
        <w:rPr>
          <w:color w:val="0000FF"/>
          <w:u w:val="single"/>
        </w:rPr>
        <w:fldChar w:fldCharType="begin"/>
      </w:r>
      <w:r>
        <w:rPr>
          <w:color w:val="0000FF"/>
          <w:u w:val="single"/>
        </w:rPr>
        <w:instrText>HYPERLINK "https://internet.garant.ru/document/redirect/12112604/4"</w:instrText>
      </w:r>
      <w:r>
        <w:rPr>
          <w:color w:val="0000FF"/>
          <w:u w:val="single"/>
        </w:rPr>
        <w:fldChar w:fldCharType="separate"/>
      </w:r>
      <w:r>
        <w:rPr>
          <w:color w:val="0000FF"/>
          <w:u w:val="single"/>
        </w:rPr>
        <w:t>бюджетным законодательством</w:t>
      </w:r>
      <w:r>
        <w:rPr>
          <w:color w:val="0000FF"/>
          <w:u w:val="single"/>
        </w:rPr>
        <w:fldChar w:fldCharType="end"/>
      </w:r>
      <w:r>
        <w:t xml:space="preserve"> Российской Федерации.</w:t>
      </w:r>
    </w:p>
    <w:p w14:paraId="21010000">
      <w:pPr>
        <w:pStyle w:val="Style_3"/>
      </w:pPr>
    </w:p>
    <w:p w14:paraId="22010000">
      <w:bookmarkStart w:id="111" w:name="anchor1000"/>
      <w:bookmarkEnd w:id="111"/>
      <w:r>
        <w:t xml:space="preserve">Приложение 1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23010000">
      <w:pPr>
        <w:pStyle w:val="Style_2"/>
        <w:ind/>
        <w:outlineLvl w:val="0"/>
      </w:pPr>
      <w:r>
        <w:t>Перечень наименований продовольственных товаров</w:t>
      </w:r>
    </w:p>
    <w:p w14:paraId="24010000">
      <w:pPr>
        <w:pStyle w:val="Style_3"/>
      </w:pPr>
      <w:bookmarkStart w:id="112" w:name="anchor1001"/>
      <w:bookmarkEnd w:id="112"/>
      <w:r>
        <w:t>1. Мясо замороженное, консервированное (свинина, говядина, оленина, мясо птицы).</w:t>
      </w:r>
    </w:p>
    <w:p w14:paraId="25010000">
      <w:pPr>
        <w:pStyle w:val="Style_3"/>
      </w:pPr>
      <w:bookmarkStart w:id="113" w:name="anchor1002"/>
      <w:bookmarkEnd w:id="113"/>
      <w:r>
        <w:t>2. Масло сливочное.</w:t>
      </w:r>
    </w:p>
    <w:p w14:paraId="26010000">
      <w:pPr>
        <w:pStyle w:val="Style_3"/>
      </w:pPr>
      <w:bookmarkStart w:id="114" w:name="anchor1003"/>
      <w:bookmarkEnd w:id="114"/>
      <w:r>
        <w:t>3. Масло растительное.</w:t>
      </w:r>
    </w:p>
    <w:p w14:paraId="27010000">
      <w:pPr>
        <w:pStyle w:val="Style_3"/>
      </w:pPr>
      <w:bookmarkStart w:id="115" w:name="anchor1004"/>
      <w:bookmarkEnd w:id="115"/>
      <w:r>
        <w:t>4. Сахар.</w:t>
      </w:r>
    </w:p>
    <w:p w14:paraId="28010000">
      <w:pPr>
        <w:pStyle w:val="Style_3"/>
      </w:pPr>
      <w:bookmarkStart w:id="116" w:name="anchor1005"/>
      <w:bookmarkEnd w:id="116"/>
      <w:r>
        <w:t>5. Чай.</w:t>
      </w:r>
    </w:p>
    <w:p w14:paraId="29010000">
      <w:pPr>
        <w:pStyle w:val="Style_3"/>
      </w:pPr>
      <w:bookmarkStart w:id="117" w:name="anchor1006"/>
      <w:bookmarkEnd w:id="117"/>
      <w:r>
        <w:t>6. Макаронные изделия.</w:t>
      </w:r>
    </w:p>
    <w:p w14:paraId="2A010000">
      <w:pPr>
        <w:pStyle w:val="Style_3"/>
      </w:pPr>
      <w:bookmarkStart w:id="118" w:name="anchor1007"/>
      <w:bookmarkEnd w:id="118"/>
      <w:r>
        <w:t>7. Мука пшеничная, пшенично-ржаная и ржаная для розничной торговли (без добавок).</w:t>
      </w:r>
    </w:p>
    <w:p w14:paraId="2B010000">
      <w:pPr>
        <w:pStyle w:val="Style_3"/>
      </w:pPr>
      <w:bookmarkStart w:id="119" w:name="anchor1008"/>
      <w:bookmarkEnd w:id="119"/>
      <w:r>
        <w:t>8. Крупы, включая бобовые (за исключением круп с добавками).</w:t>
      </w:r>
    </w:p>
    <w:p w14:paraId="2C010000">
      <w:pPr>
        <w:pStyle w:val="Style_3"/>
      </w:pPr>
      <w:bookmarkStart w:id="120" w:name="anchor1009"/>
      <w:bookmarkEnd w:id="120"/>
      <w:r>
        <w:t>9. Соль.</w:t>
      </w:r>
    </w:p>
    <w:p w14:paraId="2D010000">
      <w:pPr>
        <w:pStyle w:val="Style_3"/>
      </w:pPr>
      <w:bookmarkStart w:id="121" w:name="anchor1010"/>
      <w:bookmarkEnd w:id="121"/>
      <w:r>
        <w:t>10. Яйцо куриное.</w:t>
      </w:r>
    </w:p>
    <w:p w14:paraId="2E010000">
      <w:pPr>
        <w:pStyle w:val="Style_3"/>
      </w:pPr>
      <w:bookmarkStart w:id="122" w:name="anchor1011"/>
      <w:bookmarkEnd w:id="122"/>
      <w:r>
        <w:t>11. Свежие овощи и фрукты (картофель, морковь, лук, чеснок, свекла, капуста, кабачки, баклажаны, перец, томаты, огурцы, редис, редька, репа, тыква, корень имбиря, сельдерей, салат, укроп, петрушка, яблоки, груши, апельсины, мандарины, лимоны, бананы, виноград, арбузы, дыни, хурма, сливы, абрикосы, персики, нектарины, ананасы, грейпфрут, помело, гранаты, киви, черешня, вишня).</w:t>
      </w:r>
    </w:p>
    <w:p w14:paraId="2F010000">
      <w:pPr>
        <w:pStyle w:val="Style_3"/>
      </w:pPr>
      <w:r>
        <w:t>12. Молочная продукция (молоко, кефир, сметана, творог) для доставки в населенные пункты: Усть-Кара, Каратайка, Индига, Выучейское, Шойна, Кия, Хорей-Вер, Нельмин-Нос, Андег, Волонга, Белушье, Чижа, Мгла, Несь, Снопа, Вижас, Харута, Пылемец, Щелино, Волоковая, Куя, Хонгурей, Каменка, Макарово, Устье, Амдерма, Бугрино, Варнек, Великовисочное, Лабожское, Тошвиска.</w:t>
      </w:r>
    </w:p>
    <w:p w14:paraId="30010000">
      <w:pPr>
        <w:pStyle w:val="Style_3"/>
      </w:pPr>
      <w:bookmarkStart w:id="123" w:name="anchor1013"/>
      <w:bookmarkEnd w:id="123"/>
      <w:r>
        <w:t>13. Молоко сгущенное, молоко сухое.</w:t>
      </w:r>
    </w:p>
    <w:p w14:paraId="31010000">
      <w:pPr>
        <w:pStyle w:val="Style_3"/>
      </w:pPr>
      <w:bookmarkStart w:id="124" w:name="anchor1014"/>
      <w:bookmarkEnd w:id="124"/>
      <w:r>
        <w:t>14. Сыр, включая плавленый.</w:t>
      </w:r>
    </w:p>
    <w:p w14:paraId="32010000">
      <w:pPr>
        <w:pStyle w:val="Style_3"/>
      </w:pPr>
      <w:bookmarkStart w:id="125" w:name="anchor1015"/>
      <w:bookmarkEnd w:id="125"/>
      <w:r>
        <w:t>15. Колбасные изделия (колбасы, сосиски, сардельки, шпикачки).</w:t>
      </w:r>
    </w:p>
    <w:p w14:paraId="33010000">
      <w:pPr>
        <w:pStyle w:val="Style_3"/>
      </w:pPr>
      <w:bookmarkStart w:id="126" w:name="anchor1016"/>
      <w:bookmarkEnd w:id="126"/>
      <w:r>
        <w:t>16. Соковая продукция.</w:t>
      </w:r>
    </w:p>
    <w:p w14:paraId="34010000">
      <w:pPr>
        <w:pStyle w:val="Style_3"/>
      </w:pPr>
      <w:bookmarkStart w:id="127" w:name="anchor1017"/>
      <w:bookmarkEnd w:id="127"/>
      <w:r>
        <w:t>17. Бараночные изделия, галеты.</w:t>
      </w:r>
    </w:p>
    <w:p w14:paraId="35010000">
      <w:pPr>
        <w:pStyle w:val="Style_3"/>
      </w:pPr>
      <w:bookmarkStart w:id="128" w:name="anchor1018"/>
      <w:bookmarkEnd w:id="128"/>
      <w:r>
        <w:t>18. Кондитерские изделия (карамель).</w:t>
      </w:r>
    </w:p>
    <w:p w14:paraId="36010000">
      <w:pPr>
        <w:pStyle w:val="Style_3"/>
      </w:pPr>
      <w:r>
        <w:t>19. Произведенные на территории Ненецкого автономного округа полуфабрикаты мясные (пельмени, фрикадельки, тефтели, котлеты, фарш, полуфабрикаты порционные панированные натуральные из оленины, свинины, мяса птицы), консервы мясные тушеные из оленины, консервы мясо-растительные (заправка для макарон по-флотски, оленина с брусничным соусом, тефтели из оленины в томатном соусе, жаркое из оленины по-ненецки, каша перловая с олениной, каша гречневая с олениной, гуляш из оленины с томатным соусом, каша рисовая с олениной).</w:t>
      </w:r>
    </w:p>
    <w:p w14:paraId="37010000">
      <w:pPr>
        <w:pStyle w:val="Style_3"/>
      </w:pPr>
      <w:r>
        <w:t>20. Произведенные на территории Ненецкого автономного округа изделия кондитерские мучные (печенье, торты, пирожные, пряники, коврижки, кексы, баба, рулеты, вафли, сладости восточные), пастила, мармелад.</w:t>
      </w:r>
    </w:p>
    <w:p w14:paraId="38010000">
      <w:pPr>
        <w:pStyle w:val="Style_3"/>
      </w:pPr>
    </w:p>
    <w:p w14:paraId="39010000">
      <w:r>
        <w:t xml:space="preserve">Приложение 1.1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3A010000">
      <w:pPr>
        <w:pStyle w:val="Style_2"/>
        <w:ind/>
        <w:outlineLvl w:val="0"/>
      </w:pPr>
      <w:r>
        <w:t>Размеры процентов возмещения затрат на транспортировку продовольственных товаров</w:t>
      </w:r>
    </w:p>
    <w:tbl>
      <w:tblPr>
        <w:tblW w:type="auto" w:w="0"/>
        <w:jc w:val="left"/>
        <w:tblLayout w:type="fixed"/>
      </w:tblPr>
      <w:tblGrid>
        <w:gridCol w:w="850"/>
        <w:gridCol w:w="6180"/>
        <w:gridCol w:w="2778"/>
      </w:tblGrid>
      <w:tr>
        <w:tc>
          <w:tcPr>
            <w:tcW w:type="dxa" w:w="850"/>
            <w:tcBorders>
              <w:top w:color="000000" w:sz="4" w:val="single"/>
              <w:left w:color="000000" w:sz="4" w:val="single"/>
              <w:bottom w:color="000000" w:sz="4" w:val="single"/>
              <w:right w:color="000000" w:sz="4" w:val="single"/>
            </w:tcBorders>
            <w:vAlign w:val="top"/>
          </w:tcPr>
          <w:p w14:paraId="3B010000">
            <w:pPr>
              <w:pStyle w:val="Style_3"/>
              <w:ind w:firstLine="0"/>
              <w:jc w:val="center"/>
            </w:pPr>
            <w:r>
              <w:t>N п/п</w:t>
            </w:r>
          </w:p>
        </w:tc>
        <w:tc>
          <w:tcPr>
            <w:tcW w:type="dxa" w:w="6180"/>
            <w:tcBorders>
              <w:top w:color="000000" w:sz="4" w:val="single"/>
              <w:bottom w:color="000000" w:sz="4" w:val="single"/>
              <w:right w:color="000000" w:sz="4" w:val="single"/>
            </w:tcBorders>
            <w:vAlign w:val="top"/>
          </w:tcPr>
          <w:p w14:paraId="3C010000">
            <w:pPr>
              <w:pStyle w:val="Style_3"/>
              <w:ind w:firstLine="0"/>
              <w:jc w:val="center"/>
            </w:pPr>
            <w:r>
              <w:t>Населенные пункты Ненецкого автономного округа</w:t>
            </w:r>
          </w:p>
        </w:tc>
        <w:tc>
          <w:tcPr>
            <w:tcW w:type="dxa" w:w="2778"/>
            <w:tcBorders>
              <w:top w:color="000000" w:sz="4" w:val="single"/>
              <w:bottom w:color="000000" w:sz="4" w:val="single"/>
              <w:right w:color="000000" w:sz="4" w:val="single"/>
            </w:tcBorders>
            <w:vAlign w:val="top"/>
          </w:tcPr>
          <w:p w14:paraId="3D010000">
            <w:pPr>
              <w:pStyle w:val="Style_3"/>
              <w:ind w:firstLine="0"/>
              <w:jc w:val="center"/>
            </w:pPr>
            <w:r>
              <w:t>Процент возмещения затрат на транспортировку продовольственных товаров</w:t>
            </w:r>
          </w:p>
        </w:tc>
      </w:tr>
      <w:tr>
        <w:tc>
          <w:tcPr>
            <w:tcW w:type="dxa" w:w="850"/>
            <w:tcBorders>
              <w:left w:color="000000" w:sz="4" w:val="single"/>
              <w:bottom w:color="000000" w:sz="4" w:val="single"/>
              <w:right w:color="000000" w:sz="4" w:val="single"/>
            </w:tcBorders>
            <w:vAlign w:val="top"/>
          </w:tcPr>
          <w:p w14:paraId="3E010000">
            <w:pPr>
              <w:pStyle w:val="Style_3"/>
              <w:ind w:firstLine="0"/>
              <w:jc w:val="center"/>
            </w:pPr>
            <w:r>
              <w:t>1</w:t>
            </w:r>
          </w:p>
        </w:tc>
        <w:tc>
          <w:tcPr>
            <w:tcW w:type="dxa" w:w="6180"/>
            <w:tcBorders>
              <w:bottom w:color="000000" w:sz="4" w:val="single"/>
              <w:right w:color="000000" w:sz="4" w:val="single"/>
            </w:tcBorders>
            <w:vAlign w:val="top"/>
          </w:tcPr>
          <w:p w14:paraId="3F010000">
            <w:pPr>
              <w:pStyle w:val="Style_3"/>
              <w:ind w:firstLine="0"/>
              <w:jc w:val="center"/>
            </w:pPr>
            <w:r>
              <w:t>2</w:t>
            </w:r>
          </w:p>
        </w:tc>
        <w:tc>
          <w:tcPr>
            <w:tcW w:type="dxa" w:w="2778"/>
            <w:tcBorders>
              <w:bottom w:color="000000" w:sz="4" w:val="single"/>
              <w:right w:color="000000" w:sz="4" w:val="single"/>
            </w:tcBorders>
            <w:vAlign w:val="top"/>
          </w:tcPr>
          <w:p w14:paraId="40010000">
            <w:pPr>
              <w:pStyle w:val="Style_3"/>
              <w:ind w:firstLine="0"/>
              <w:jc w:val="center"/>
            </w:pPr>
            <w:r>
              <w:t>3</w:t>
            </w:r>
          </w:p>
        </w:tc>
      </w:tr>
      <w:tr>
        <w:tc>
          <w:tcPr>
            <w:tcW w:type="dxa" w:w="850"/>
            <w:vMerge w:val="restart"/>
            <w:tcBorders>
              <w:left w:color="000000" w:sz="4" w:val="single"/>
              <w:bottom w:color="000000" w:sz="4" w:val="single"/>
              <w:right w:color="000000" w:sz="4" w:val="single"/>
            </w:tcBorders>
            <w:vAlign w:val="top"/>
          </w:tcPr>
          <w:p w14:paraId="41010000">
            <w:pPr>
              <w:pStyle w:val="Style_3"/>
              <w:ind w:firstLine="0"/>
              <w:jc w:val="center"/>
            </w:pPr>
            <w:r>
              <w:t>1.</w:t>
            </w:r>
          </w:p>
        </w:tc>
        <w:tc>
          <w:tcPr>
            <w:tcW w:type="dxa" w:w="6180"/>
            <w:tcBorders>
              <w:bottom w:color="000000" w:sz="4" w:val="single"/>
              <w:right w:color="000000" w:sz="4" w:val="single"/>
            </w:tcBorders>
            <w:vAlign w:val="top"/>
          </w:tcPr>
          <w:p w14:paraId="42010000">
            <w:pPr>
              <w:pStyle w:val="Style_4"/>
              <w:ind w:firstLine="0"/>
            </w:pPr>
            <w:r>
              <w:t>поселок Амдерма:</w:t>
            </w:r>
          </w:p>
        </w:tc>
        <w:tc>
          <w:tcPr>
            <w:tcW w:type="dxa" w:w="2778"/>
            <w:tcBorders>
              <w:bottom w:color="000000" w:sz="4" w:val="single"/>
              <w:right w:color="000000" w:sz="4" w:val="single"/>
            </w:tcBorders>
            <w:vAlign w:val="top"/>
          </w:tcPr>
          <w:p w14:paraId="43010000">
            <w:pPr>
              <w:pStyle w:val="Style_3"/>
            </w:p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44010000">
            <w:pPr>
              <w:pStyle w:val="Style_3"/>
              <w:ind w:firstLine="0"/>
              <w:jc w:val="center"/>
            </w:pPr>
            <w:r>
              <w:t>95</w:t>
            </w:r>
          </w:p>
        </w:tc>
        <w:tc>
          <w:tcPr>
            <w:tcW w:type="dxa" w:w="2778"/>
          </w:tc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45010000">
            <w:pPr>
              <w:pStyle w:val="Style_3"/>
              <w:ind w:firstLine="0"/>
              <w:jc w:val="center"/>
            </w:pPr>
            <w:r>
              <w:t>80</w:t>
            </w:r>
          </w:p>
        </w:tc>
        <w:tc>
          <w:tcPr>
            <w:tcW w:type="dxa" w:w="2778"/>
          </w:tcPr>
          <w:p/>
        </w:tc>
      </w:tr>
      <w:tr>
        <w:tc>
          <w:tcPr>
            <w:tcW w:type="dxa" w:w="850"/>
            <w:tcBorders>
              <w:left w:color="000000" w:sz="4" w:val="single"/>
              <w:bottom w:color="000000" w:sz="4" w:val="single"/>
              <w:right w:color="000000" w:sz="4" w:val="single"/>
            </w:tcBorders>
            <w:vAlign w:val="top"/>
          </w:tcPr>
          <w:p w14:paraId="46010000">
            <w:pPr>
              <w:pStyle w:val="Style_3"/>
              <w:ind w:firstLine="0"/>
              <w:jc w:val="center"/>
            </w:pPr>
            <w:r>
              <w:t>2.</w:t>
            </w:r>
          </w:p>
        </w:tc>
        <w:tc>
          <w:tcPr>
            <w:tcW w:type="dxa" w:w="6180"/>
            <w:tcBorders>
              <w:bottom w:color="000000" w:sz="4" w:val="single"/>
              <w:right w:color="000000" w:sz="4" w:val="single"/>
            </w:tcBorders>
            <w:vAlign w:val="top"/>
          </w:tcPr>
          <w:p w14:paraId="47010000">
            <w:pPr>
              <w:pStyle w:val="Style_4"/>
              <w:ind w:firstLine="0"/>
            </w:pPr>
            <w:r>
              <w:t>деревня Андег</w:t>
            </w:r>
          </w:p>
        </w:tc>
        <w:tc>
          <w:tcPr>
            <w:tcW w:type="dxa" w:w="2778"/>
            <w:tcBorders>
              <w:bottom w:color="000000" w:sz="4" w:val="single"/>
              <w:right w:color="000000" w:sz="4" w:val="single"/>
            </w:tcBorders>
            <w:vAlign w:val="top"/>
          </w:tcPr>
          <w:p w14:paraId="48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49010000">
            <w:pPr>
              <w:pStyle w:val="Style_3"/>
              <w:ind w:firstLine="0"/>
              <w:jc w:val="center"/>
            </w:pPr>
            <w:r>
              <w:t>3.</w:t>
            </w:r>
          </w:p>
        </w:tc>
        <w:tc>
          <w:tcPr>
            <w:tcW w:type="dxa" w:w="6180"/>
            <w:tcBorders>
              <w:bottom w:color="000000" w:sz="4" w:val="single"/>
              <w:right w:color="000000" w:sz="4" w:val="single"/>
            </w:tcBorders>
            <w:vAlign w:val="top"/>
          </w:tcPr>
          <w:p w14:paraId="4A010000">
            <w:pPr>
              <w:pStyle w:val="Style_4"/>
              <w:ind w:firstLine="0"/>
            </w:pPr>
            <w:r>
              <w:t>деревня Белушье</w:t>
            </w:r>
          </w:p>
        </w:tc>
        <w:tc>
          <w:tcPr>
            <w:tcW w:type="dxa" w:w="2778"/>
            <w:tcBorders>
              <w:bottom w:color="000000" w:sz="4" w:val="single"/>
              <w:right w:color="000000" w:sz="4" w:val="single"/>
            </w:tcBorders>
            <w:vAlign w:val="top"/>
          </w:tcPr>
          <w:p w14:paraId="4B010000">
            <w:pPr>
              <w:pStyle w:val="Style_3"/>
              <w:ind w:firstLine="0"/>
              <w:jc w:val="center"/>
            </w:pPr>
            <w:r>
              <w:t>95</w:t>
            </w:r>
          </w:p>
        </w:tc>
      </w:tr>
      <w:tr>
        <w:tc>
          <w:tcPr>
            <w:tcW w:type="dxa" w:w="850"/>
            <w:vMerge w:val="restart"/>
            <w:tcBorders>
              <w:left w:color="000000" w:sz="4" w:val="single"/>
              <w:bottom w:color="000000" w:sz="4" w:val="single"/>
              <w:right w:color="000000" w:sz="4" w:val="single"/>
            </w:tcBorders>
            <w:vAlign w:val="top"/>
          </w:tcPr>
          <w:p w14:paraId="4C010000">
            <w:pPr>
              <w:pStyle w:val="Style_3"/>
              <w:ind w:firstLine="0"/>
              <w:jc w:val="center"/>
            </w:pPr>
            <w:r>
              <w:t>4.</w:t>
            </w:r>
          </w:p>
        </w:tc>
        <w:tc>
          <w:tcPr>
            <w:tcW w:type="dxa" w:w="6180"/>
            <w:tcBorders>
              <w:bottom w:color="000000" w:sz="4" w:val="single"/>
              <w:right w:color="000000" w:sz="4" w:val="single"/>
            </w:tcBorders>
            <w:vAlign w:val="top"/>
          </w:tcPr>
          <w:p w14:paraId="4D010000">
            <w:pPr>
              <w:pStyle w:val="Style_4"/>
              <w:ind w:firstLine="0"/>
            </w:pPr>
            <w:r>
              <w:t>поселок Бугрино:</w:t>
            </w:r>
          </w:p>
        </w:tc>
        <w:tc>
          <w:tcPr>
            <w:tcW w:type="dxa" w:w="2778"/>
            <w:tcBorders>
              <w:bottom w:color="000000" w:sz="4" w:val="single"/>
              <w:right w:color="000000" w:sz="4" w:val="single"/>
            </w:tcBorders>
            <w:vAlign w:val="top"/>
          </w:tcPr>
          <w:p w14:paraId="4E010000">
            <w:pPr>
              <w:pStyle w:val="Style_3"/>
            </w:p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4F010000">
            <w:pPr>
              <w:pStyle w:val="Style_3"/>
              <w:ind w:firstLine="0"/>
              <w:jc w:val="center"/>
            </w:pPr>
            <w:r>
              <w:t>95</w:t>
            </w:r>
          </w:p>
        </w:tc>
        <w:tc>
          <w:tcPr>
            <w:tcW w:type="dxa" w:w="2778"/>
          </w:tc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50010000">
            <w:pPr>
              <w:pStyle w:val="Style_3"/>
              <w:ind w:firstLine="0"/>
              <w:jc w:val="center"/>
            </w:pPr>
            <w:r>
              <w:t>80</w:t>
            </w:r>
          </w:p>
        </w:tc>
        <w:tc>
          <w:tcPr>
            <w:tcW w:type="dxa" w:w="2778"/>
          </w:tcPr>
          <w:p/>
        </w:tc>
      </w:tr>
      <w:tr>
        <w:tc>
          <w:tcPr>
            <w:tcW w:type="dxa" w:w="850"/>
            <w:vMerge w:val="restart"/>
            <w:tcBorders>
              <w:left w:color="000000" w:sz="4" w:val="single"/>
              <w:bottom w:color="000000" w:sz="4" w:val="single"/>
              <w:right w:color="000000" w:sz="4" w:val="single"/>
            </w:tcBorders>
            <w:vAlign w:val="top"/>
          </w:tcPr>
          <w:p w14:paraId="51010000">
            <w:pPr>
              <w:pStyle w:val="Style_3"/>
              <w:ind w:firstLine="0"/>
              <w:jc w:val="center"/>
            </w:pPr>
            <w:r>
              <w:t>5.</w:t>
            </w:r>
          </w:p>
        </w:tc>
        <w:tc>
          <w:tcPr>
            <w:tcW w:type="dxa" w:w="6180"/>
            <w:tcBorders>
              <w:bottom w:color="000000" w:sz="4" w:val="single"/>
              <w:right w:color="000000" w:sz="4" w:val="single"/>
            </w:tcBorders>
            <w:vAlign w:val="top"/>
          </w:tcPr>
          <w:p w14:paraId="52010000">
            <w:pPr>
              <w:pStyle w:val="Style_4"/>
              <w:ind w:firstLine="0"/>
            </w:pPr>
            <w:r>
              <w:t>поселок Варнек:</w:t>
            </w:r>
          </w:p>
        </w:tc>
        <w:tc>
          <w:tcPr>
            <w:tcW w:type="dxa" w:w="2778"/>
            <w:tcBorders>
              <w:bottom w:color="000000" w:sz="4" w:val="single"/>
              <w:right w:color="000000" w:sz="4" w:val="single"/>
            </w:tcBorders>
            <w:vAlign w:val="top"/>
          </w:tcPr>
          <w:p w14:paraId="53010000">
            <w:pPr>
              <w:pStyle w:val="Style_3"/>
            </w:p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54010000">
            <w:pPr>
              <w:pStyle w:val="Style_3"/>
              <w:ind w:firstLine="0"/>
              <w:jc w:val="center"/>
            </w:pPr>
            <w:r>
              <w:t>95</w:t>
            </w:r>
          </w:p>
        </w:tc>
        <w:tc>
          <w:tcPr>
            <w:tcW w:type="dxa" w:w="2778"/>
          </w:tcPr>
          <w:p/>
        </w:tc>
      </w:tr>
      <w:tr>
        <w:tc>
          <w:tcPr>
            <w:tcW w:type="dxa" w:w="850"/>
            <w:gridSpan w:val="1"/>
            <w:vMerge w:val="continue"/>
            <w:tcBorders>
              <w:left w:color="000000" w:sz="4" w:val="single"/>
              <w:bottom w:color="000000" w:sz="4" w:val="single"/>
              <w:right w:color="000000" w:sz="4" w:val="single"/>
            </w:tcBorders>
            <w:vAlign w:val="top"/>
          </w:tcPr>
          <w:p/>
        </w:tc>
        <w:tc>
          <w:tcPr>
            <w:tcW w:type="dxa" w:w="6180"/>
            <w:tcBorders>
              <w:bottom w:color="000000" w:sz="4" w:val="single"/>
              <w:right w:color="000000" w:sz="4" w:val="single"/>
            </w:tcBorders>
            <w:vAlign w:val="top"/>
          </w:tcPr>
          <w:p w14:paraId="55010000">
            <w:pPr>
              <w:pStyle w:val="Style_3"/>
              <w:ind w:firstLine="0"/>
              <w:jc w:val="center"/>
            </w:pPr>
            <w:r>
              <w:t>80</w:t>
            </w:r>
          </w:p>
        </w:tc>
        <w:tc>
          <w:tcPr>
            <w:tcW w:type="dxa" w:w="2778"/>
          </w:tcPr>
          <w:p/>
        </w:tc>
      </w:tr>
      <w:tr>
        <w:tc>
          <w:tcPr>
            <w:tcW w:type="dxa" w:w="850"/>
            <w:tcBorders>
              <w:left w:color="000000" w:sz="4" w:val="single"/>
              <w:bottom w:color="000000" w:sz="4" w:val="single"/>
              <w:right w:color="000000" w:sz="4" w:val="single"/>
            </w:tcBorders>
            <w:vAlign w:val="top"/>
          </w:tcPr>
          <w:p w14:paraId="56010000">
            <w:pPr>
              <w:pStyle w:val="Style_3"/>
              <w:ind w:firstLine="0"/>
              <w:jc w:val="center"/>
            </w:pPr>
            <w:r>
              <w:t>6.</w:t>
            </w:r>
          </w:p>
        </w:tc>
        <w:tc>
          <w:tcPr>
            <w:tcW w:type="dxa" w:w="6180"/>
            <w:tcBorders>
              <w:bottom w:color="000000" w:sz="4" w:val="single"/>
              <w:right w:color="000000" w:sz="4" w:val="single"/>
            </w:tcBorders>
            <w:vAlign w:val="top"/>
          </w:tcPr>
          <w:p w14:paraId="57010000">
            <w:pPr>
              <w:pStyle w:val="Style_4"/>
              <w:ind w:firstLine="0"/>
            </w:pPr>
            <w:r>
              <w:t>село Великовисочное</w:t>
            </w:r>
          </w:p>
        </w:tc>
        <w:tc>
          <w:tcPr>
            <w:tcW w:type="dxa" w:w="2778"/>
            <w:tcBorders>
              <w:bottom w:color="000000" w:sz="4" w:val="single"/>
              <w:right w:color="000000" w:sz="4" w:val="single"/>
            </w:tcBorders>
            <w:vAlign w:val="top"/>
          </w:tcPr>
          <w:p w14:paraId="58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59010000">
            <w:pPr>
              <w:pStyle w:val="Style_3"/>
              <w:ind w:firstLine="0"/>
              <w:jc w:val="center"/>
            </w:pPr>
            <w:r>
              <w:t>7.</w:t>
            </w:r>
          </w:p>
        </w:tc>
        <w:tc>
          <w:tcPr>
            <w:tcW w:type="dxa" w:w="6180"/>
            <w:tcBorders>
              <w:bottom w:color="000000" w:sz="4" w:val="single"/>
              <w:right w:color="000000" w:sz="4" w:val="single"/>
            </w:tcBorders>
            <w:vAlign w:val="top"/>
          </w:tcPr>
          <w:p w14:paraId="5A010000">
            <w:pPr>
              <w:pStyle w:val="Style_4"/>
              <w:ind w:firstLine="0"/>
            </w:pPr>
            <w:r>
              <w:t>деревня Верхняя Пеша</w:t>
            </w:r>
          </w:p>
        </w:tc>
        <w:tc>
          <w:tcPr>
            <w:tcW w:type="dxa" w:w="2778"/>
            <w:tcBorders>
              <w:bottom w:color="000000" w:sz="4" w:val="single"/>
              <w:right w:color="000000" w:sz="4" w:val="single"/>
            </w:tcBorders>
            <w:vAlign w:val="top"/>
          </w:tcPr>
          <w:p w14:paraId="5B010000">
            <w:pPr>
              <w:pStyle w:val="Style_3"/>
              <w:ind w:firstLine="0"/>
              <w:jc w:val="center"/>
            </w:pPr>
            <w:r>
              <w:t>90</w:t>
            </w:r>
          </w:p>
        </w:tc>
      </w:tr>
      <w:tr>
        <w:tc>
          <w:tcPr>
            <w:tcW w:type="dxa" w:w="850"/>
            <w:tcBorders>
              <w:left w:color="000000" w:sz="4" w:val="single"/>
              <w:bottom w:color="000000" w:sz="4" w:val="single"/>
              <w:right w:color="000000" w:sz="4" w:val="single"/>
            </w:tcBorders>
            <w:vAlign w:val="top"/>
          </w:tcPr>
          <w:p w14:paraId="5C010000">
            <w:pPr>
              <w:pStyle w:val="Style_3"/>
              <w:ind w:firstLine="0"/>
              <w:jc w:val="center"/>
            </w:pPr>
            <w:r>
              <w:t>8.</w:t>
            </w:r>
          </w:p>
        </w:tc>
        <w:tc>
          <w:tcPr>
            <w:tcW w:type="dxa" w:w="6180"/>
            <w:tcBorders>
              <w:bottom w:color="000000" w:sz="4" w:val="single"/>
              <w:right w:color="000000" w:sz="4" w:val="single"/>
            </w:tcBorders>
            <w:vAlign w:val="top"/>
          </w:tcPr>
          <w:p w14:paraId="5D010000">
            <w:pPr>
              <w:pStyle w:val="Style_4"/>
              <w:ind w:firstLine="0"/>
            </w:pPr>
            <w:r>
              <w:t>деревня Вижас</w:t>
            </w:r>
          </w:p>
        </w:tc>
        <w:tc>
          <w:tcPr>
            <w:tcW w:type="dxa" w:w="2778"/>
            <w:tcBorders>
              <w:bottom w:color="000000" w:sz="4" w:val="single"/>
              <w:right w:color="000000" w:sz="4" w:val="single"/>
            </w:tcBorders>
            <w:vAlign w:val="top"/>
          </w:tcPr>
          <w:p w14:paraId="5E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5F010000">
            <w:pPr>
              <w:pStyle w:val="Style_3"/>
              <w:ind w:firstLine="0"/>
              <w:jc w:val="center"/>
            </w:pPr>
            <w:r>
              <w:t>9.</w:t>
            </w:r>
          </w:p>
        </w:tc>
        <w:tc>
          <w:tcPr>
            <w:tcW w:type="dxa" w:w="6180"/>
            <w:tcBorders>
              <w:bottom w:color="000000" w:sz="4" w:val="single"/>
              <w:right w:color="000000" w:sz="4" w:val="single"/>
            </w:tcBorders>
            <w:vAlign w:val="top"/>
          </w:tcPr>
          <w:p w14:paraId="60010000">
            <w:pPr>
              <w:pStyle w:val="Style_4"/>
              <w:ind w:firstLine="0"/>
            </w:pPr>
            <w:r>
              <w:t>деревня Волоковая</w:t>
            </w:r>
          </w:p>
        </w:tc>
        <w:tc>
          <w:tcPr>
            <w:tcW w:type="dxa" w:w="2778"/>
            <w:tcBorders>
              <w:bottom w:color="000000" w:sz="4" w:val="single"/>
              <w:right w:color="000000" w:sz="4" w:val="single"/>
            </w:tcBorders>
            <w:vAlign w:val="top"/>
          </w:tcPr>
          <w:p w14:paraId="61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62010000">
            <w:pPr>
              <w:pStyle w:val="Style_3"/>
              <w:ind w:firstLine="0"/>
              <w:jc w:val="center"/>
            </w:pPr>
            <w:r>
              <w:t>10.</w:t>
            </w:r>
          </w:p>
        </w:tc>
        <w:tc>
          <w:tcPr>
            <w:tcW w:type="dxa" w:w="6180"/>
            <w:tcBorders>
              <w:bottom w:color="000000" w:sz="4" w:val="single"/>
              <w:right w:color="000000" w:sz="4" w:val="single"/>
            </w:tcBorders>
            <w:vAlign w:val="top"/>
          </w:tcPr>
          <w:p w14:paraId="63010000">
            <w:pPr>
              <w:pStyle w:val="Style_4"/>
              <w:ind w:firstLine="0"/>
            </w:pPr>
            <w:r>
              <w:t>деревня Волонга</w:t>
            </w:r>
          </w:p>
        </w:tc>
        <w:tc>
          <w:tcPr>
            <w:tcW w:type="dxa" w:w="2778"/>
            <w:tcBorders>
              <w:bottom w:color="000000" w:sz="4" w:val="single"/>
              <w:right w:color="000000" w:sz="4" w:val="single"/>
            </w:tcBorders>
            <w:vAlign w:val="top"/>
          </w:tcPr>
          <w:p w14:paraId="64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65010000">
            <w:pPr>
              <w:pStyle w:val="Style_3"/>
              <w:ind w:firstLine="0"/>
              <w:jc w:val="center"/>
            </w:pPr>
            <w:r>
              <w:t>11.</w:t>
            </w:r>
          </w:p>
        </w:tc>
        <w:tc>
          <w:tcPr>
            <w:tcW w:type="dxa" w:w="6180"/>
            <w:tcBorders>
              <w:bottom w:color="000000" w:sz="4" w:val="single"/>
              <w:right w:color="000000" w:sz="4" w:val="single"/>
            </w:tcBorders>
            <w:vAlign w:val="top"/>
          </w:tcPr>
          <w:p w14:paraId="66010000">
            <w:pPr>
              <w:pStyle w:val="Style_4"/>
              <w:ind w:firstLine="0"/>
            </w:pPr>
            <w:r>
              <w:t>поселок Выучейский</w:t>
            </w:r>
          </w:p>
        </w:tc>
        <w:tc>
          <w:tcPr>
            <w:tcW w:type="dxa" w:w="2778"/>
            <w:tcBorders>
              <w:bottom w:color="000000" w:sz="4" w:val="single"/>
              <w:right w:color="000000" w:sz="4" w:val="single"/>
            </w:tcBorders>
            <w:vAlign w:val="top"/>
          </w:tcPr>
          <w:p w14:paraId="67010000">
            <w:pPr>
              <w:pStyle w:val="Style_3"/>
              <w:ind w:firstLine="0"/>
              <w:jc w:val="center"/>
            </w:pPr>
            <w:r>
              <w:t>90</w:t>
            </w:r>
          </w:p>
        </w:tc>
      </w:tr>
      <w:tr>
        <w:tc>
          <w:tcPr>
            <w:tcW w:type="dxa" w:w="850"/>
            <w:tcBorders>
              <w:left w:color="000000" w:sz="4" w:val="single"/>
              <w:bottom w:color="000000" w:sz="4" w:val="single"/>
              <w:right w:color="000000" w:sz="4" w:val="single"/>
            </w:tcBorders>
            <w:vAlign w:val="top"/>
          </w:tcPr>
          <w:p w14:paraId="68010000">
            <w:pPr>
              <w:pStyle w:val="Style_3"/>
              <w:ind w:firstLine="0"/>
              <w:jc w:val="center"/>
            </w:pPr>
            <w:r>
              <w:t>12.</w:t>
            </w:r>
          </w:p>
        </w:tc>
        <w:tc>
          <w:tcPr>
            <w:tcW w:type="dxa" w:w="6180"/>
            <w:tcBorders>
              <w:bottom w:color="000000" w:sz="4" w:val="single"/>
              <w:right w:color="000000" w:sz="4" w:val="single"/>
            </w:tcBorders>
            <w:vAlign w:val="top"/>
          </w:tcPr>
          <w:p w14:paraId="69010000">
            <w:pPr>
              <w:pStyle w:val="Style_4"/>
              <w:ind w:firstLine="0"/>
            </w:pPr>
            <w:r>
              <w:t>поселок Индига</w:t>
            </w:r>
          </w:p>
        </w:tc>
        <w:tc>
          <w:tcPr>
            <w:tcW w:type="dxa" w:w="2778"/>
            <w:tcBorders>
              <w:bottom w:color="000000" w:sz="4" w:val="single"/>
              <w:right w:color="000000" w:sz="4" w:val="single"/>
            </w:tcBorders>
            <w:vAlign w:val="top"/>
          </w:tcPr>
          <w:p w14:paraId="6A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6B010000">
            <w:pPr>
              <w:pStyle w:val="Style_3"/>
              <w:ind w:firstLine="0"/>
              <w:jc w:val="center"/>
            </w:pPr>
            <w:r>
              <w:t>13.</w:t>
            </w:r>
          </w:p>
        </w:tc>
        <w:tc>
          <w:tcPr>
            <w:tcW w:type="dxa" w:w="6180"/>
            <w:tcBorders>
              <w:bottom w:color="000000" w:sz="4" w:val="single"/>
              <w:right w:color="000000" w:sz="4" w:val="single"/>
            </w:tcBorders>
            <w:vAlign w:val="top"/>
          </w:tcPr>
          <w:p w14:paraId="6C010000">
            <w:pPr>
              <w:pStyle w:val="Style_4"/>
              <w:ind w:firstLine="0"/>
            </w:pPr>
            <w:r>
              <w:t>деревня Каменка</w:t>
            </w:r>
          </w:p>
        </w:tc>
        <w:tc>
          <w:tcPr>
            <w:tcW w:type="dxa" w:w="2778"/>
            <w:tcBorders>
              <w:bottom w:color="000000" w:sz="4" w:val="single"/>
              <w:right w:color="000000" w:sz="4" w:val="single"/>
            </w:tcBorders>
            <w:vAlign w:val="top"/>
          </w:tcPr>
          <w:p w14:paraId="6D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6E010000">
            <w:pPr>
              <w:pStyle w:val="Style_3"/>
              <w:ind w:firstLine="0"/>
              <w:jc w:val="center"/>
            </w:pPr>
            <w:r>
              <w:t>14.</w:t>
            </w:r>
          </w:p>
        </w:tc>
        <w:tc>
          <w:tcPr>
            <w:tcW w:type="dxa" w:w="6180"/>
            <w:tcBorders>
              <w:bottom w:color="000000" w:sz="4" w:val="single"/>
              <w:right w:color="000000" w:sz="4" w:val="single"/>
            </w:tcBorders>
            <w:vAlign w:val="top"/>
          </w:tcPr>
          <w:p w14:paraId="6F010000">
            <w:pPr>
              <w:pStyle w:val="Style_4"/>
              <w:ind w:firstLine="0"/>
            </w:pPr>
            <w:r>
              <w:t>поселок Каратайка</w:t>
            </w:r>
          </w:p>
        </w:tc>
        <w:tc>
          <w:tcPr>
            <w:tcW w:type="dxa" w:w="2778"/>
            <w:tcBorders>
              <w:bottom w:color="000000" w:sz="4" w:val="single"/>
              <w:right w:color="000000" w:sz="4" w:val="single"/>
            </w:tcBorders>
            <w:vAlign w:val="top"/>
          </w:tcPr>
          <w:p w14:paraId="70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71010000">
            <w:pPr>
              <w:pStyle w:val="Style_3"/>
              <w:ind w:firstLine="0"/>
              <w:jc w:val="center"/>
            </w:pPr>
            <w:r>
              <w:t>15.</w:t>
            </w:r>
          </w:p>
        </w:tc>
        <w:tc>
          <w:tcPr>
            <w:tcW w:type="dxa" w:w="6180"/>
            <w:tcBorders>
              <w:bottom w:color="000000" w:sz="4" w:val="single"/>
              <w:right w:color="000000" w:sz="4" w:val="single"/>
            </w:tcBorders>
            <w:vAlign w:val="top"/>
          </w:tcPr>
          <w:p w14:paraId="72010000">
            <w:pPr>
              <w:pStyle w:val="Style_4"/>
              <w:ind w:firstLine="0"/>
            </w:pPr>
            <w:r>
              <w:t>деревня Кия</w:t>
            </w:r>
          </w:p>
        </w:tc>
        <w:tc>
          <w:tcPr>
            <w:tcW w:type="dxa" w:w="2778"/>
            <w:tcBorders>
              <w:bottom w:color="000000" w:sz="4" w:val="single"/>
              <w:right w:color="000000" w:sz="4" w:val="single"/>
            </w:tcBorders>
            <w:vAlign w:val="top"/>
          </w:tcPr>
          <w:p w14:paraId="73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74010000">
            <w:pPr>
              <w:pStyle w:val="Style_3"/>
              <w:ind w:firstLine="0"/>
              <w:jc w:val="center"/>
            </w:pPr>
            <w:r>
              <w:t>16.</w:t>
            </w:r>
          </w:p>
        </w:tc>
        <w:tc>
          <w:tcPr>
            <w:tcW w:type="dxa" w:w="6180"/>
            <w:tcBorders>
              <w:bottom w:color="000000" w:sz="4" w:val="single"/>
              <w:right w:color="000000" w:sz="4" w:val="single"/>
            </w:tcBorders>
            <w:vAlign w:val="top"/>
          </w:tcPr>
          <w:p w14:paraId="75010000">
            <w:pPr>
              <w:pStyle w:val="Style_4"/>
              <w:ind w:firstLine="0"/>
            </w:pPr>
            <w:r>
              <w:t>село Коткино</w:t>
            </w:r>
          </w:p>
        </w:tc>
        <w:tc>
          <w:tcPr>
            <w:tcW w:type="dxa" w:w="2778"/>
            <w:tcBorders>
              <w:bottom w:color="000000" w:sz="4" w:val="single"/>
              <w:right w:color="000000" w:sz="4" w:val="single"/>
            </w:tcBorders>
            <w:vAlign w:val="top"/>
          </w:tcPr>
          <w:p w14:paraId="76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77010000">
            <w:pPr>
              <w:pStyle w:val="Style_3"/>
              <w:ind w:firstLine="0"/>
              <w:jc w:val="center"/>
            </w:pPr>
            <w:r>
              <w:t>17.</w:t>
            </w:r>
          </w:p>
        </w:tc>
        <w:tc>
          <w:tcPr>
            <w:tcW w:type="dxa" w:w="6180"/>
            <w:tcBorders>
              <w:bottom w:color="000000" w:sz="4" w:val="single"/>
              <w:right w:color="000000" w:sz="4" w:val="single"/>
            </w:tcBorders>
            <w:vAlign w:val="top"/>
          </w:tcPr>
          <w:p w14:paraId="78010000">
            <w:pPr>
              <w:pStyle w:val="Style_4"/>
              <w:ind w:firstLine="0"/>
            </w:pPr>
            <w:r>
              <w:t>поселок Красное</w:t>
            </w:r>
          </w:p>
        </w:tc>
        <w:tc>
          <w:tcPr>
            <w:tcW w:type="dxa" w:w="2778"/>
            <w:tcBorders>
              <w:bottom w:color="000000" w:sz="4" w:val="single"/>
              <w:right w:color="000000" w:sz="4" w:val="single"/>
            </w:tcBorders>
            <w:vAlign w:val="top"/>
          </w:tcPr>
          <w:p w14:paraId="79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7A010000">
            <w:pPr>
              <w:pStyle w:val="Style_3"/>
              <w:ind w:firstLine="0"/>
              <w:jc w:val="center"/>
            </w:pPr>
            <w:r>
              <w:t>18.</w:t>
            </w:r>
          </w:p>
        </w:tc>
        <w:tc>
          <w:tcPr>
            <w:tcW w:type="dxa" w:w="6180"/>
            <w:tcBorders>
              <w:bottom w:color="000000" w:sz="4" w:val="single"/>
              <w:right w:color="000000" w:sz="4" w:val="single"/>
            </w:tcBorders>
            <w:vAlign w:val="top"/>
          </w:tcPr>
          <w:p w14:paraId="7B010000">
            <w:pPr>
              <w:pStyle w:val="Style_4"/>
              <w:ind w:firstLine="0"/>
            </w:pPr>
            <w:r>
              <w:t>деревня Куя</w:t>
            </w:r>
          </w:p>
        </w:tc>
        <w:tc>
          <w:tcPr>
            <w:tcW w:type="dxa" w:w="2778"/>
            <w:tcBorders>
              <w:bottom w:color="000000" w:sz="4" w:val="single"/>
              <w:right w:color="000000" w:sz="4" w:val="single"/>
            </w:tcBorders>
            <w:vAlign w:val="top"/>
          </w:tcPr>
          <w:p w14:paraId="7C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7D010000">
            <w:pPr>
              <w:pStyle w:val="Style_3"/>
              <w:ind w:firstLine="0"/>
              <w:jc w:val="center"/>
            </w:pPr>
            <w:r>
              <w:t>19.</w:t>
            </w:r>
          </w:p>
        </w:tc>
        <w:tc>
          <w:tcPr>
            <w:tcW w:type="dxa" w:w="6180"/>
            <w:tcBorders>
              <w:bottom w:color="000000" w:sz="4" w:val="single"/>
              <w:right w:color="000000" w:sz="4" w:val="single"/>
            </w:tcBorders>
            <w:vAlign w:val="top"/>
          </w:tcPr>
          <w:p w14:paraId="7E010000">
            <w:pPr>
              <w:pStyle w:val="Style_4"/>
              <w:ind w:firstLine="0"/>
            </w:pPr>
            <w:r>
              <w:t>село Лабожское</w:t>
            </w:r>
          </w:p>
        </w:tc>
        <w:tc>
          <w:tcPr>
            <w:tcW w:type="dxa" w:w="2778"/>
            <w:tcBorders>
              <w:bottom w:color="000000" w:sz="4" w:val="single"/>
              <w:right w:color="000000" w:sz="4" w:val="single"/>
            </w:tcBorders>
            <w:vAlign w:val="top"/>
          </w:tcPr>
          <w:p w14:paraId="7F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80010000">
            <w:pPr>
              <w:pStyle w:val="Style_3"/>
              <w:ind w:firstLine="0"/>
              <w:jc w:val="center"/>
            </w:pPr>
            <w:r>
              <w:t>20.</w:t>
            </w:r>
          </w:p>
        </w:tc>
        <w:tc>
          <w:tcPr>
            <w:tcW w:type="dxa" w:w="6180"/>
            <w:tcBorders>
              <w:bottom w:color="000000" w:sz="4" w:val="single"/>
              <w:right w:color="000000" w:sz="4" w:val="single"/>
            </w:tcBorders>
            <w:vAlign w:val="top"/>
          </w:tcPr>
          <w:p w14:paraId="81010000">
            <w:pPr>
              <w:pStyle w:val="Style_4"/>
              <w:ind w:firstLine="0"/>
            </w:pPr>
            <w:r>
              <w:t>деревня Макарово</w:t>
            </w:r>
          </w:p>
        </w:tc>
        <w:tc>
          <w:tcPr>
            <w:tcW w:type="dxa" w:w="2778"/>
            <w:tcBorders>
              <w:bottom w:color="000000" w:sz="4" w:val="single"/>
              <w:right w:color="000000" w:sz="4" w:val="single"/>
            </w:tcBorders>
            <w:vAlign w:val="top"/>
          </w:tcPr>
          <w:p w14:paraId="82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83010000">
            <w:pPr>
              <w:pStyle w:val="Style_3"/>
              <w:ind w:firstLine="0"/>
              <w:jc w:val="center"/>
            </w:pPr>
            <w:r>
              <w:t>21.</w:t>
            </w:r>
          </w:p>
        </w:tc>
        <w:tc>
          <w:tcPr>
            <w:tcW w:type="dxa" w:w="6180"/>
            <w:tcBorders>
              <w:bottom w:color="000000" w:sz="4" w:val="single"/>
              <w:right w:color="000000" w:sz="4" w:val="single"/>
            </w:tcBorders>
            <w:vAlign w:val="top"/>
          </w:tcPr>
          <w:p w14:paraId="84010000">
            <w:pPr>
              <w:pStyle w:val="Style_4"/>
              <w:ind w:firstLine="0"/>
            </w:pPr>
            <w:r>
              <w:t>деревня Мгла</w:t>
            </w:r>
          </w:p>
        </w:tc>
        <w:tc>
          <w:tcPr>
            <w:tcW w:type="dxa" w:w="2778"/>
            <w:tcBorders>
              <w:bottom w:color="000000" w:sz="4" w:val="single"/>
              <w:right w:color="000000" w:sz="4" w:val="single"/>
            </w:tcBorders>
            <w:vAlign w:val="top"/>
          </w:tcPr>
          <w:p w14:paraId="85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86010000">
            <w:pPr>
              <w:pStyle w:val="Style_3"/>
              <w:ind w:firstLine="0"/>
              <w:jc w:val="center"/>
            </w:pPr>
            <w:r>
              <w:t>22.</w:t>
            </w:r>
          </w:p>
        </w:tc>
        <w:tc>
          <w:tcPr>
            <w:tcW w:type="dxa" w:w="6180"/>
            <w:tcBorders>
              <w:bottom w:color="000000" w:sz="4" w:val="single"/>
              <w:right w:color="000000" w:sz="4" w:val="single"/>
            </w:tcBorders>
            <w:vAlign w:val="top"/>
          </w:tcPr>
          <w:p w14:paraId="87010000">
            <w:pPr>
              <w:pStyle w:val="Style_4"/>
              <w:ind w:firstLine="0"/>
            </w:pPr>
            <w:r>
              <w:t>поселок Нельмин-Нос</w:t>
            </w:r>
          </w:p>
        </w:tc>
        <w:tc>
          <w:tcPr>
            <w:tcW w:type="dxa" w:w="2778"/>
            <w:tcBorders>
              <w:bottom w:color="000000" w:sz="4" w:val="single"/>
              <w:right w:color="000000" w:sz="4" w:val="single"/>
            </w:tcBorders>
            <w:vAlign w:val="top"/>
          </w:tcPr>
          <w:p w14:paraId="88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89010000">
            <w:pPr>
              <w:pStyle w:val="Style_3"/>
              <w:ind w:firstLine="0"/>
              <w:jc w:val="center"/>
            </w:pPr>
            <w:r>
              <w:t>23.</w:t>
            </w:r>
          </w:p>
        </w:tc>
        <w:tc>
          <w:tcPr>
            <w:tcW w:type="dxa" w:w="6180"/>
            <w:tcBorders>
              <w:bottom w:color="000000" w:sz="4" w:val="single"/>
              <w:right w:color="000000" w:sz="4" w:val="single"/>
            </w:tcBorders>
            <w:vAlign w:val="top"/>
          </w:tcPr>
          <w:p w14:paraId="8A010000">
            <w:pPr>
              <w:pStyle w:val="Style_4"/>
              <w:ind w:firstLine="0"/>
            </w:pPr>
            <w:r>
              <w:t>село Несь</w:t>
            </w:r>
          </w:p>
        </w:tc>
        <w:tc>
          <w:tcPr>
            <w:tcW w:type="dxa" w:w="2778"/>
            <w:tcBorders>
              <w:bottom w:color="000000" w:sz="4" w:val="single"/>
              <w:right w:color="000000" w:sz="4" w:val="single"/>
            </w:tcBorders>
            <w:vAlign w:val="top"/>
          </w:tcPr>
          <w:p w14:paraId="8B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8C010000">
            <w:pPr>
              <w:pStyle w:val="Style_3"/>
              <w:ind w:firstLine="0"/>
              <w:jc w:val="center"/>
            </w:pPr>
            <w:r>
              <w:t>24.</w:t>
            </w:r>
          </w:p>
        </w:tc>
        <w:tc>
          <w:tcPr>
            <w:tcW w:type="dxa" w:w="6180"/>
            <w:tcBorders>
              <w:bottom w:color="000000" w:sz="4" w:val="single"/>
              <w:right w:color="000000" w:sz="4" w:val="single"/>
            </w:tcBorders>
            <w:vAlign w:val="top"/>
          </w:tcPr>
          <w:p w14:paraId="8D010000">
            <w:pPr>
              <w:pStyle w:val="Style_4"/>
              <w:ind w:firstLine="0"/>
            </w:pPr>
            <w:r>
              <w:t>село Нижняя Пеша</w:t>
            </w:r>
          </w:p>
        </w:tc>
        <w:tc>
          <w:tcPr>
            <w:tcW w:type="dxa" w:w="2778"/>
            <w:tcBorders>
              <w:bottom w:color="000000" w:sz="4" w:val="single"/>
              <w:right w:color="000000" w:sz="4" w:val="single"/>
            </w:tcBorders>
            <w:vAlign w:val="top"/>
          </w:tcPr>
          <w:p w14:paraId="8E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8F010000">
            <w:pPr>
              <w:pStyle w:val="Style_3"/>
              <w:ind w:firstLine="0"/>
              <w:jc w:val="center"/>
            </w:pPr>
            <w:r>
              <w:t>25.</w:t>
            </w:r>
          </w:p>
        </w:tc>
        <w:tc>
          <w:tcPr>
            <w:tcW w:type="dxa" w:w="6180"/>
            <w:tcBorders>
              <w:bottom w:color="000000" w:sz="4" w:val="single"/>
              <w:right w:color="000000" w:sz="4" w:val="single"/>
            </w:tcBorders>
            <w:vAlign w:val="top"/>
          </w:tcPr>
          <w:p w14:paraId="90010000">
            <w:pPr>
              <w:pStyle w:val="Style_4"/>
              <w:ind w:firstLine="0"/>
            </w:pPr>
            <w:r>
              <w:t>село Оксино</w:t>
            </w:r>
          </w:p>
        </w:tc>
        <w:tc>
          <w:tcPr>
            <w:tcW w:type="dxa" w:w="2778"/>
            <w:tcBorders>
              <w:bottom w:color="000000" w:sz="4" w:val="single"/>
              <w:right w:color="000000" w:sz="4" w:val="single"/>
            </w:tcBorders>
            <w:vAlign w:val="top"/>
          </w:tcPr>
          <w:p w14:paraId="91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92010000">
            <w:pPr>
              <w:pStyle w:val="Style_3"/>
              <w:ind w:firstLine="0"/>
              <w:jc w:val="center"/>
            </w:pPr>
            <w:r>
              <w:t>26.</w:t>
            </w:r>
          </w:p>
        </w:tc>
        <w:tc>
          <w:tcPr>
            <w:tcW w:type="dxa" w:w="6180"/>
            <w:tcBorders>
              <w:bottom w:color="000000" w:sz="4" w:val="single"/>
              <w:right w:color="000000" w:sz="4" w:val="single"/>
            </w:tcBorders>
            <w:vAlign w:val="top"/>
          </w:tcPr>
          <w:p w14:paraId="93010000">
            <w:pPr>
              <w:pStyle w:val="Style_4"/>
              <w:ind w:firstLine="0"/>
            </w:pPr>
            <w:r>
              <w:t>село Ома</w:t>
            </w:r>
          </w:p>
        </w:tc>
        <w:tc>
          <w:tcPr>
            <w:tcW w:type="dxa" w:w="2778"/>
            <w:tcBorders>
              <w:bottom w:color="000000" w:sz="4" w:val="single"/>
              <w:right w:color="000000" w:sz="4" w:val="single"/>
            </w:tcBorders>
            <w:vAlign w:val="top"/>
          </w:tcPr>
          <w:p w14:paraId="94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95010000">
            <w:pPr>
              <w:pStyle w:val="Style_3"/>
              <w:ind w:firstLine="0"/>
              <w:jc w:val="center"/>
            </w:pPr>
            <w:r>
              <w:t>27.</w:t>
            </w:r>
          </w:p>
        </w:tc>
        <w:tc>
          <w:tcPr>
            <w:tcW w:type="dxa" w:w="6180"/>
            <w:tcBorders>
              <w:bottom w:color="000000" w:sz="4" w:val="single"/>
              <w:right w:color="000000" w:sz="4" w:val="single"/>
            </w:tcBorders>
            <w:vAlign w:val="top"/>
          </w:tcPr>
          <w:p w14:paraId="96010000">
            <w:pPr>
              <w:pStyle w:val="Style_4"/>
              <w:ind w:firstLine="0"/>
            </w:pPr>
            <w:r>
              <w:t>деревня Осколково</w:t>
            </w:r>
          </w:p>
        </w:tc>
        <w:tc>
          <w:tcPr>
            <w:tcW w:type="dxa" w:w="2778"/>
            <w:tcBorders>
              <w:bottom w:color="000000" w:sz="4" w:val="single"/>
              <w:right w:color="000000" w:sz="4" w:val="single"/>
            </w:tcBorders>
            <w:vAlign w:val="top"/>
          </w:tcPr>
          <w:p w14:paraId="97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98010000">
            <w:pPr>
              <w:pStyle w:val="Style_3"/>
              <w:ind w:firstLine="0"/>
              <w:jc w:val="center"/>
            </w:pPr>
            <w:r>
              <w:t>28.</w:t>
            </w:r>
          </w:p>
        </w:tc>
        <w:tc>
          <w:tcPr>
            <w:tcW w:type="dxa" w:w="6180"/>
            <w:tcBorders>
              <w:bottom w:color="000000" w:sz="4" w:val="single"/>
              <w:right w:color="000000" w:sz="4" w:val="single"/>
            </w:tcBorders>
            <w:vAlign w:val="top"/>
          </w:tcPr>
          <w:p w14:paraId="99010000">
            <w:pPr>
              <w:pStyle w:val="Style_4"/>
              <w:ind w:firstLine="0"/>
            </w:pPr>
            <w:r>
              <w:t>деревня Пылемец</w:t>
            </w:r>
          </w:p>
        </w:tc>
        <w:tc>
          <w:tcPr>
            <w:tcW w:type="dxa" w:w="2778"/>
            <w:tcBorders>
              <w:bottom w:color="000000" w:sz="4" w:val="single"/>
              <w:right w:color="000000" w:sz="4" w:val="single"/>
            </w:tcBorders>
            <w:vAlign w:val="top"/>
          </w:tcPr>
          <w:p w14:paraId="9A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9B010000">
            <w:pPr>
              <w:pStyle w:val="Style_3"/>
              <w:ind w:firstLine="0"/>
              <w:jc w:val="center"/>
            </w:pPr>
            <w:r>
              <w:t>29.</w:t>
            </w:r>
          </w:p>
        </w:tc>
        <w:tc>
          <w:tcPr>
            <w:tcW w:type="dxa" w:w="6180"/>
            <w:tcBorders>
              <w:bottom w:color="000000" w:sz="4" w:val="single"/>
              <w:right w:color="000000" w:sz="4" w:val="single"/>
            </w:tcBorders>
            <w:vAlign w:val="top"/>
          </w:tcPr>
          <w:p w14:paraId="9C010000">
            <w:pPr>
              <w:pStyle w:val="Style_4"/>
              <w:ind w:firstLine="0"/>
            </w:pPr>
            <w:r>
              <w:t>деревня Снопа</w:t>
            </w:r>
          </w:p>
        </w:tc>
        <w:tc>
          <w:tcPr>
            <w:tcW w:type="dxa" w:w="2778"/>
            <w:tcBorders>
              <w:bottom w:color="000000" w:sz="4" w:val="single"/>
              <w:right w:color="000000" w:sz="4" w:val="single"/>
            </w:tcBorders>
            <w:vAlign w:val="top"/>
          </w:tcPr>
          <w:p w14:paraId="9D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9E010000">
            <w:pPr>
              <w:pStyle w:val="Style_3"/>
              <w:ind w:firstLine="0"/>
              <w:jc w:val="center"/>
            </w:pPr>
            <w:r>
              <w:t>30.</w:t>
            </w:r>
          </w:p>
        </w:tc>
        <w:tc>
          <w:tcPr>
            <w:tcW w:type="dxa" w:w="6180"/>
            <w:tcBorders>
              <w:bottom w:color="000000" w:sz="4" w:val="single"/>
              <w:right w:color="000000" w:sz="4" w:val="single"/>
            </w:tcBorders>
            <w:vAlign w:val="top"/>
          </w:tcPr>
          <w:p w14:paraId="9F010000">
            <w:pPr>
              <w:pStyle w:val="Style_4"/>
              <w:ind w:firstLine="0"/>
            </w:pPr>
            <w:r>
              <w:t>село Тельвиска</w:t>
            </w:r>
          </w:p>
        </w:tc>
        <w:tc>
          <w:tcPr>
            <w:tcW w:type="dxa" w:w="2778"/>
            <w:tcBorders>
              <w:bottom w:color="000000" w:sz="4" w:val="single"/>
              <w:right w:color="000000" w:sz="4" w:val="single"/>
            </w:tcBorders>
            <w:vAlign w:val="top"/>
          </w:tcPr>
          <w:p w14:paraId="A0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A1010000">
            <w:pPr>
              <w:pStyle w:val="Style_3"/>
              <w:ind w:firstLine="0"/>
              <w:jc w:val="center"/>
            </w:pPr>
            <w:r>
              <w:t>31.</w:t>
            </w:r>
          </w:p>
        </w:tc>
        <w:tc>
          <w:tcPr>
            <w:tcW w:type="dxa" w:w="6180"/>
            <w:tcBorders>
              <w:bottom w:color="000000" w:sz="4" w:val="single"/>
              <w:right w:color="000000" w:sz="4" w:val="single"/>
            </w:tcBorders>
            <w:vAlign w:val="top"/>
          </w:tcPr>
          <w:p w14:paraId="A2010000">
            <w:pPr>
              <w:pStyle w:val="Style_4"/>
              <w:ind w:firstLine="0"/>
            </w:pPr>
            <w:r>
              <w:t>деревня Тошвиска</w:t>
            </w:r>
          </w:p>
        </w:tc>
        <w:tc>
          <w:tcPr>
            <w:tcW w:type="dxa" w:w="2778"/>
            <w:tcBorders>
              <w:bottom w:color="000000" w:sz="4" w:val="single"/>
              <w:right w:color="000000" w:sz="4" w:val="single"/>
            </w:tcBorders>
            <w:vAlign w:val="top"/>
          </w:tcPr>
          <w:p w14:paraId="A3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A4010000">
            <w:pPr>
              <w:pStyle w:val="Style_3"/>
              <w:ind w:firstLine="0"/>
              <w:jc w:val="center"/>
            </w:pPr>
            <w:r>
              <w:t>32.</w:t>
            </w:r>
          </w:p>
        </w:tc>
        <w:tc>
          <w:tcPr>
            <w:tcW w:type="dxa" w:w="6180"/>
            <w:tcBorders>
              <w:bottom w:color="000000" w:sz="4" w:val="single"/>
              <w:right w:color="000000" w:sz="4" w:val="single"/>
            </w:tcBorders>
            <w:vAlign w:val="top"/>
          </w:tcPr>
          <w:p w14:paraId="A5010000">
            <w:pPr>
              <w:pStyle w:val="Style_4"/>
              <w:ind w:firstLine="0"/>
            </w:pPr>
            <w:r>
              <w:t>деревня Устье</w:t>
            </w:r>
          </w:p>
        </w:tc>
        <w:tc>
          <w:tcPr>
            <w:tcW w:type="dxa" w:w="2778"/>
            <w:tcBorders>
              <w:bottom w:color="000000" w:sz="4" w:val="single"/>
              <w:right w:color="000000" w:sz="4" w:val="single"/>
            </w:tcBorders>
            <w:vAlign w:val="top"/>
          </w:tcPr>
          <w:p w14:paraId="A6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A7010000">
            <w:pPr>
              <w:pStyle w:val="Style_3"/>
              <w:ind w:firstLine="0"/>
              <w:jc w:val="center"/>
            </w:pPr>
            <w:r>
              <w:t>33.</w:t>
            </w:r>
          </w:p>
        </w:tc>
        <w:tc>
          <w:tcPr>
            <w:tcW w:type="dxa" w:w="6180"/>
            <w:tcBorders>
              <w:bottom w:color="000000" w:sz="4" w:val="single"/>
              <w:right w:color="000000" w:sz="4" w:val="single"/>
            </w:tcBorders>
            <w:vAlign w:val="top"/>
          </w:tcPr>
          <w:p w14:paraId="A8010000">
            <w:pPr>
              <w:pStyle w:val="Style_4"/>
              <w:ind w:firstLine="0"/>
            </w:pPr>
            <w:r>
              <w:t>поселок Усть-Кара</w:t>
            </w:r>
          </w:p>
        </w:tc>
        <w:tc>
          <w:tcPr>
            <w:tcW w:type="dxa" w:w="2778"/>
            <w:tcBorders>
              <w:bottom w:color="000000" w:sz="4" w:val="single"/>
              <w:right w:color="000000" w:sz="4" w:val="single"/>
            </w:tcBorders>
            <w:vAlign w:val="top"/>
          </w:tcPr>
          <w:p w14:paraId="A9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AA010000">
            <w:pPr>
              <w:pStyle w:val="Style_3"/>
              <w:ind w:firstLine="0"/>
              <w:jc w:val="center"/>
            </w:pPr>
            <w:r>
              <w:t>34.</w:t>
            </w:r>
          </w:p>
        </w:tc>
        <w:tc>
          <w:tcPr>
            <w:tcW w:type="dxa" w:w="6180"/>
            <w:tcBorders>
              <w:bottom w:color="000000" w:sz="4" w:val="single"/>
              <w:right w:color="000000" w:sz="4" w:val="single"/>
            </w:tcBorders>
            <w:vAlign w:val="top"/>
          </w:tcPr>
          <w:p w14:paraId="AB010000">
            <w:pPr>
              <w:pStyle w:val="Style_4"/>
              <w:ind w:firstLine="0"/>
            </w:pPr>
            <w:r>
              <w:t>поселок Харута</w:t>
            </w:r>
          </w:p>
        </w:tc>
        <w:tc>
          <w:tcPr>
            <w:tcW w:type="dxa" w:w="2778"/>
            <w:tcBorders>
              <w:bottom w:color="000000" w:sz="4" w:val="single"/>
              <w:right w:color="000000" w:sz="4" w:val="single"/>
            </w:tcBorders>
            <w:vAlign w:val="top"/>
          </w:tcPr>
          <w:p w14:paraId="AC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AD010000">
            <w:pPr>
              <w:pStyle w:val="Style_3"/>
              <w:ind w:firstLine="0"/>
              <w:jc w:val="center"/>
            </w:pPr>
            <w:r>
              <w:t>35.</w:t>
            </w:r>
          </w:p>
        </w:tc>
        <w:tc>
          <w:tcPr>
            <w:tcW w:type="dxa" w:w="6180"/>
            <w:tcBorders>
              <w:bottom w:color="000000" w:sz="4" w:val="single"/>
              <w:right w:color="000000" w:sz="4" w:val="single"/>
            </w:tcBorders>
            <w:vAlign w:val="top"/>
          </w:tcPr>
          <w:p w14:paraId="AE010000">
            <w:pPr>
              <w:pStyle w:val="Style_4"/>
              <w:ind w:firstLine="0"/>
            </w:pPr>
            <w:r>
              <w:t>поселок Хонгурей</w:t>
            </w:r>
          </w:p>
        </w:tc>
        <w:tc>
          <w:tcPr>
            <w:tcW w:type="dxa" w:w="2778"/>
            <w:tcBorders>
              <w:bottom w:color="000000" w:sz="4" w:val="single"/>
              <w:right w:color="000000" w:sz="4" w:val="single"/>
            </w:tcBorders>
            <w:vAlign w:val="top"/>
          </w:tcPr>
          <w:p w14:paraId="AF010000">
            <w:pPr>
              <w:pStyle w:val="Style_3"/>
              <w:ind w:firstLine="0"/>
              <w:jc w:val="center"/>
            </w:pPr>
            <w:r>
              <w:t>90</w:t>
            </w:r>
          </w:p>
        </w:tc>
      </w:tr>
      <w:tr>
        <w:tc>
          <w:tcPr>
            <w:tcW w:type="dxa" w:w="850"/>
            <w:tcBorders>
              <w:left w:color="000000" w:sz="4" w:val="single"/>
              <w:bottom w:color="000000" w:sz="4" w:val="single"/>
              <w:right w:color="000000" w:sz="4" w:val="single"/>
            </w:tcBorders>
            <w:vAlign w:val="top"/>
          </w:tcPr>
          <w:p w14:paraId="B0010000">
            <w:pPr>
              <w:pStyle w:val="Style_3"/>
              <w:ind w:firstLine="0"/>
              <w:jc w:val="center"/>
            </w:pPr>
            <w:r>
              <w:t>36.</w:t>
            </w:r>
          </w:p>
        </w:tc>
        <w:tc>
          <w:tcPr>
            <w:tcW w:type="dxa" w:w="6180"/>
            <w:tcBorders>
              <w:bottom w:color="000000" w:sz="4" w:val="single"/>
              <w:right w:color="000000" w:sz="4" w:val="single"/>
            </w:tcBorders>
            <w:vAlign w:val="top"/>
          </w:tcPr>
          <w:p w14:paraId="B1010000">
            <w:pPr>
              <w:pStyle w:val="Style_4"/>
              <w:ind w:firstLine="0"/>
            </w:pPr>
            <w:r>
              <w:t>поселок Хорей-Вер</w:t>
            </w:r>
          </w:p>
        </w:tc>
        <w:tc>
          <w:tcPr>
            <w:tcW w:type="dxa" w:w="2778"/>
            <w:tcBorders>
              <w:bottom w:color="000000" w:sz="4" w:val="single"/>
              <w:right w:color="000000" w:sz="4" w:val="single"/>
            </w:tcBorders>
            <w:vAlign w:val="top"/>
          </w:tcPr>
          <w:p w14:paraId="B2010000">
            <w:pPr>
              <w:pStyle w:val="Style_3"/>
              <w:ind w:firstLine="0"/>
              <w:jc w:val="center"/>
            </w:pPr>
            <w:r>
              <w:t>80</w:t>
            </w:r>
          </w:p>
        </w:tc>
      </w:tr>
      <w:tr>
        <w:tc>
          <w:tcPr>
            <w:tcW w:type="dxa" w:w="850"/>
            <w:tcBorders>
              <w:left w:color="000000" w:sz="4" w:val="single"/>
              <w:bottom w:color="000000" w:sz="4" w:val="single"/>
              <w:right w:color="000000" w:sz="4" w:val="single"/>
            </w:tcBorders>
            <w:vAlign w:val="top"/>
          </w:tcPr>
          <w:p w14:paraId="B3010000">
            <w:pPr>
              <w:pStyle w:val="Style_3"/>
              <w:ind w:firstLine="0"/>
              <w:jc w:val="center"/>
            </w:pPr>
            <w:r>
              <w:t>37.</w:t>
            </w:r>
          </w:p>
        </w:tc>
        <w:tc>
          <w:tcPr>
            <w:tcW w:type="dxa" w:w="6180"/>
            <w:tcBorders>
              <w:bottom w:color="000000" w:sz="4" w:val="single"/>
              <w:right w:color="000000" w:sz="4" w:val="single"/>
            </w:tcBorders>
            <w:vAlign w:val="top"/>
          </w:tcPr>
          <w:p w14:paraId="B4010000">
            <w:pPr>
              <w:pStyle w:val="Style_4"/>
              <w:ind w:firstLine="0"/>
            </w:pPr>
            <w:r>
              <w:t>деревня Чёрная</w:t>
            </w:r>
          </w:p>
        </w:tc>
        <w:tc>
          <w:tcPr>
            <w:tcW w:type="dxa" w:w="2778"/>
            <w:tcBorders>
              <w:bottom w:color="000000" w:sz="4" w:val="single"/>
              <w:right w:color="000000" w:sz="4" w:val="single"/>
            </w:tcBorders>
            <w:vAlign w:val="top"/>
          </w:tcPr>
          <w:p w14:paraId="B5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B6010000">
            <w:pPr>
              <w:pStyle w:val="Style_3"/>
              <w:ind w:firstLine="0"/>
              <w:jc w:val="center"/>
            </w:pPr>
            <w:r>
              <w:t>38.</w:t>
            </w:r>
          </w:p>
        </w:tc>
        <w:tc>
          <w:tcPr>
            <w:tcW w:type="dxa" w:w="6180"/>
            <w:tcBorders>
              <w:bottom w:color="000000" w:sz="4" w:val="single"/>
              <w:right w:color="000000" w:sz="4" w:val="single"/>
            </w:tcBorders>
            <w:vAlign w:val="top"/>
          </w:tcPr>
          <w:p w14:paraId="B7010000">
            <w:pPr>
              <w:pStyle w:val="Style_4"/>
              <w:ind w:firstLine="0"/>
            </w:pPr>
            <w:r>
              <w:t>деревня Чижа</w:t>
            </w:r>
          </w:p>
        </w:tc>
        <w:tc>
          <w:tcPr>
            <w:tcW w:type="dxa" w:w="2778"/>
            <w:tcBorders>
              <w:bottom w:color="000000" w:sz="4" w:val="single"/>
              <w:right w:color="000000" w:sz="4" w:val="single"/>
            </w:tcBorders>
            <w:vAlign w:val="top"/>
          </w:tcPr>
          <w:p w14:paraId="B8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B9010000">
            <w:pPr>
              <w:pStyle w:val="Style_3"/>
              <w:ind w:firstLine="0"/>
              <w:jc w:val="center"/>
            </w:pPr>
            <w:r>
              <w:t>39.</w:t>
            </w:r>
          </w:p>
        </w:tc>
        <w:tc>
          <w:tcPr>
            <w:tcW w:type="dxa" w:w="6180"/>
            <w:tcBorders>
              <w:bottom w:color="000000" w:sz="4" w:val="single"/>
              <w:right w:color="000000" w:sz="4" w:val="single"/>
            </w:tcBorders>
            <w:vAlign w:val="top"/>
          </w:tcPr>
          <w:p w14:paraId="BA010000">
            <w:pPr>
              <w:pStyle w:val="Style_4"/>
              <w:ind w:firstLine="0"/>
            </w:pPr>
            <w:r>
              <w:t>село Шойна</w:t>
            </w:r>
          </w:p>
        </w:tc>
        <w:tc>
          <w:tcPr>
            <w:tcW w:type="dxa" w:w="2778"/>
            <w:tcBorders>
              <w:bottom w:color="000000" w:sz="4" w:val="single"/>
              <w:right w:color="000000" w:sz="4" w:val="single"/>
            </w:tcBorders>
            <w:vAlign w:val="top"/>
          </w:tcPr>
          <w:p w14:paraId="BB010000">
            <w:pPr>
              <w:pStyle w:val="Style_3"/>
              <w:ind w:firstLine="0"/>
              <w:jc w:val="center"/>
            </w:pPr>
            <w:r>
              <w:t>95</w:t>
            </w:r>
          </w:p>
        </w:tc>
      </w:tr>
      <w:tr>
        <w:tc>
          <w:tcPr>
            <w:tcW w:type="dxa" w:w="850"/>
            <w:tcBorders>
              <w:left w:color="000000" w:sz="4" w:val="single"/>
              <w:bottom w:color="000000" w:sz="4" w:val="single"/>
              <w:right w:color="000000" w:sz="4" w:val="single"/>
            </w:tcBorders>
            <w:vAlign w:val="top"/>
          </w:tcPr>
          <w:p w14:paraId="BC010000">
            <w:pPr>
              <w:pStyle w:val="Style_3"/>
              <w:ind w:firstLine="0"/>
              <w:jc w:val="center"/>
            </w:pPr>
            <w:r>
              <w:t>40.</w:t>
            </w:r>
          </w:p>
        </w:tc>
        <w:tc>
          <w:tcPr>
            <w:tcW w:type="dxa" w:w="6180"/>
            <w:tcBorders>
              <w:bottom w:color="000000" w:sz="4" w:val="single"/>
              <w:right w:color="000000" w:sz="4" w:val="single"/>
            </w:tcBorders>
            <w:vAlign w:val="top"/>
          </w:tcPr>
          <w:p w14:paraId="BD010000">
            <w:pPr>
              <w:pStyle w:val="Style_4"/>
              <w:ind w:firstLine="0"/>
            </w:pPr>
            <w:r>
              <w:t>деревня Щелино</w:t>
            </w:r>
          </w:p>
        </w:tc>
        <w:tc>
          <w:tcPr>
            <w:tcW w:type="dxa" w:w="2778"/>
            <w:tcBorders>
              <w:bottom w:color="000000" w:sz="4" w:val="single"/>
              <w:right w:color="000000" w:sz="4" w:val="single"/>
            </w:tcBorders>
            <w:vAlign w:val="top"/>
          </w:tcPr>
          <w:p w14:paraId="BE010000">
            <w:pPr>
              <w:pStyle w:val="Style_3"/>
              <w:ind w:firstLine="0"/>
              <w:jc w:val="center"/>
            </w:pPr>
            <w:r>
              <w:t>95</w:t>
            </w:r>
          </w:p>
        </w:tc>
      </w:tr>
    </w:tbl>
    <w:p w14:paraId="BF010000">
      <w:pPr>
        <w:pStyle w:val="Style_3"/>
      </w:pPr>
    </w:p>
    <w:p w14:paraId="C0010000">
      <w:bookmarkStart w:id="129" w:name="anchor2000"/>
      <w:bookmarkEnd w:id="129"/>
      <w:r>
        <w:t xml:space="preserve">Приложение 2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C1010000">
      <w:pPr>
        <w:pStyle w:val="Style_2"/>
        <w:ind/>
        <w:outlineLvl w:val="0"/>
      </w:pPr>
      <w:r>
        <w:t>Размер максимальных затрат, подлежащих возмещению в связи с доставкой продовольственных товаров наземным транспортом</w:t>
      </w:r>
    </w:p>
    <w:tbl>
      <w:tblPr>
        <w:tblW w:type="auto" w:w="0"/>
        <w:jc w:val="left"/>
        <w:tblLayout w:type="fixed"/>
      </w:tblPr>
      <w:tblGrid>
        <w:gridCol w:w="4876"/>
        <w:gridCol w:w="5046"/>
      </w:tblGrid>
      <w:tr>
        <w:tc>
          <w:tcPr>
            <w:tcW w:type="dxa" w:w="4876"/>
            <w:tcBorders>
              <w:top w:color="000000" w:sz="4" w:val="single"/>
              <w:left w:color="000000" w:sz="4" w:val="single"/>
              <w:bottom w:color="000000" w:sz="4" w:val="single"/>
              <w:right w:color="000000" w:sz="4" w:val="single"/>
            </w:tcBorders>
            <w:vAlign w:val="top"/>
          </w:tcPr>
          <w:p w14:paraId="C2010000">
            <w:pPr>
              <w:pStyle w:val="Style_3"/>
              <w:ind w:firstLine="0"/>
              <w:jc w:val="center"/>
            </w:pPr>
            <w:r>
              <w:t>Грузоподъемность, тонн</w:t>
            </w:r>
          </w:p>
        </w:tc>
        <w:tc>
          <w:tcPr>
            <w:tcW w:type="dxa" w:w="5046"/>
            <w:tcBorders>
              <w:top w:color="000000" w:sz="4" w:val="single"/>
              <w:bottom w:color="000000" w:sz="4" w:val="single"/>
              <w:right w:color="000000" w:sz="4" w:val="single"/>
            </w:tcBorders>
            <w:vAlign w:val="top"/>
          </w:tcPr>
          <w:p w14:paraId="C3010000">
            <w:pPr>
              <w:pStyle w:val="Style_3"/>
              <w:ind w:firstLine="0"/>
              <w:jc w:val="center"/>
            </w:pPr>
            <w:r>
              <w:t>Установленная стоимость тонно-километр, руб.</w:t>
            </w:r>
          </w:p>
        </w:tc>
      </w:tr>
      <w:tr>
        <w:tc>
          <w:tcPr>
            <w:tcW w:type="dxa" w:w="9922"/>
            <w:gridSpan w:val="2"/>
            <w:tcBorders>
              <w:left w:color="000000" w:sz="4" w:val="single"/>
              <w:bottom w:color="000000" w:sz="4" w:val="single"/>
              <w:right w:color="000000" w:sz="4" w:val="single"/>
            </w:tcBorders>
            <w:vAlign w:val="top"/>
          </w:tcPr>
          <w:p w14:paraId="C4010000">
            <w:pPr>
              <w:pStyle w:val="Style_3"/>
              <w:ind w:firstLine="0"/>
              <w:jc w:val="center"/>
            </w:pPr>
            <w:r>
              <w:t>автотранспорт</w:t>
            </w:r>
          </w:p>
        </w:tc>
      </w:tr>
      <w:tr>
        <w:tc>
          <w:tcPr>
            <w:tcW w:type="dxa" w:w="4876"/>
            <w:tcBorders>
              <w:left w:color="000000" w:sz="4" w:val="single"/>
              <w:bottom w:color="000000" w:sz="4" w:val="single"/>
              <w:right w:color="000000" w:sz="4" w:val="single"/>
            </w:tcBorders>
            <w:vAlign w:val="top"/>
          </w:tcPr>
          <w:p w14:paraId="C5010000">
            <w:pPr>
              <w:pStyle w:val="Style_3"/>
              <w:ind w:firstLine="0"/>
              <w:jc w:val="center"/>
            </w:pPr>
            <w:r>
              <w:t>до 1 включительно</w:t>
            </w:r>
          </w:p>
        </w:tc>
        <w:tc>
          <w:tcPr>
            <w:tcW w:type="dxa" w:w="5046"/>
            <w:tcBorders>
              <w:bottom w:color="000000" w:sz="4" w:val="single"/>
              <w:right w:color="000000" w:sz="4" w:val="single"/>
            </w:tcBorders>
            <w:vAlign w:val="top"/>
          </w:tcPr>
          <w:p w14:paraId="C6010000">
            <w:pPr>
              <w:pStyle w:val="Style_3"/>
              <w:ind w:firstLine="0"/>
              <w:jc w:val="center"/>
            </w:pPr>
            <w:r>
              <w:t>245,71</w:t>
            </w:r>
          </w:p>
        </w:tc>
      </w:tr>
      <w:tr>
        <w:tc>
          <w:tcPr>
            <w:tcW w:type="dxa" w:w="4876"/>
            <w:tcBorders>
              <w:left w:color="000000" w:sz="4" w:val="single"/>
              <w:bottom w:color="000000" w:sz="4" w:val="single"/>
              <w:right w:color="000000" w:sz="4" w:val="single"/>
            </w:tcBorders>
            <w:vAlign w:val="top"/>
          </w:tcPr>
          <w:p w14:paraId="C7010000">
            <w:pPr>
              <w:pStyle w:val="Style_3"/>
              <w:ind w:firstLine="0"/>
              <w:jc w:val="center"/>
            </w:pPr>
            <w:r>
              <w:t>от 1 до 2 включительно</w:t>
            </w:r>
          </w:p>
        </w:tc>
        <w:tc>
          <w:tcPr>
            <w:tcW w:type="dxa" w:w="5046"/>
            <w:tcBorders>
              <w:bottom w:color="000000" w:sz="4" w:val="single"/>
              <w:right w:color="000000" w:sz="4" w:val="single"/>
            </w:tcBorders>
            <w:vAlign w:val="top"/>
          </w:tcPr>
          <w:p w14:paraId="C8010000">
            <w:pPr>
              <w:pStyle w:val="Style_3"/>
              <w:ind w:firstLine="0"/>
              <w:jc w:val="center"/>
            </w:pPr>
            <w:r>
              <w:t>135,14</w:t>
            </w:r>
          </w:p>
        </w:tc>
      </w:tr>
      <w:tr>
        <w:tc>
          <w:tcPr>
            <w:tcW w:type="dxa" w:w="4876"/>
            <w:tcBorders>
              <w:left w:color="000000" w:sz="4" w:val="single"/>
              <w:bottom w:color="000000" w:sz="4" w:val="single"/>
              <w:right w:color="000000" w:sz="4" w:val="single"/>
            </w:tcBorders>
            <w:vAlign w:val="top"/>
          </w:tcPr>
          <w:p w14:paraId="C9010000">
            <w:pPr>
              <w:pStyle w:val="Style_3"/>
              <w:ind w:firstLine="0"/>
              <w:jc w:val="center"/>
            </w:pPr>
            <w:r>
              <w:t>от 2 до 5 включительно</w:t>
            </w:r>
          </w:p>
        </w:tc>
        <w:tc>
          <w:tcPr>
            <w:tcW w:type="dxa" w:w="5046"/>
            <w:tcBorders>
              <w:bottom w:color="000000" w:sz="4" w:val="single"/>
              <w:right w:color="000000" w:sz="4" w:val="single"/>
            </w:tcBorders>
            <w:vAlign w:val="top"/>
          </w:tcPr>
          <w:p w14:paraId="CA010000">
            <w:pPr>
              <w:pStyle w:val="Style_3"/>
              <w:ind w:firstLine="0"/>
              <w:jc w:val="center"/>
            </w:pPr>
            <w:r>
              <w:t>9,83</w:t>
            </w:r>
          </w:p>
        </w:tc>
      </w:tr>
      <w:tr>
        <w:tc>
          <w:tcPr>
            <w:tcW w:type="dxa" w:w="4876"/>
            <w:tcBorders>
              <w:left w:color="000000" w:sz="4" w:val="single"/>
              <w:bottom w:color="000000" w:sz="4" w:val="single"/>
              <w:right w:color="000000" w:sz="4" w:val="single"/>
            </w:tcBorders>
            <w:vAlign w:val="top"/>
          </w:tcPr>
          <w:p w14:paraId="CB010000">
            <w:pPr>
              <w:pStyle w:val="Style_3"/>
              <w:ind w:firstLine="0"/>
              <w:jc w:val="center"/>
            </w:pPr>
            <w:r>
              <w:t>от 5 до 20 включительно</w:t>
            </w:r>
          </w:p>
        </w:tc>
        <w:tc>
          <w:tcPr>
            <w:tcW w:type="dxa" w:w="5046"/>
            <w:tcBorders>
              <w:bottom w:color="000000" w:sz="4" w:val="single"/>
              <w:right w:color="000000" w:sz="4" w:val="single"/>
            </w:tcBorders>
            <w:vAlign w:val="top"/>
          </w:tcPr>
          <w:p w14:paraId="CC010000">
            <w:pPr>
              <w:pStyle w:val="Style_3"/>
              <w:ind w:firstLine="0"/>
              <w:jc w:val="center"/>
            </w:pPr>
            <w:r>
              <w:t>9,52</w:t>
            </w:r>
          </w:p>
        </w:tc>
      </w:tr>
      <w:tr>
        <w:tc>
          <w:tcPr>
            <w:tcW w:type="dxa" w:w="4876"/>
            <w:tcBorders>
              <w:left w:color="000000" w:sz="4" w:val="single"/>
              <w:bottom w:color="000000" w:sz="4" w:val="single"/>
              <w:right w:color="000000" w:sz="4" w:val="single"/>
            </w:tcBorders>
            <w:vAlign w:val="top"/>
          </w:tcPr>
          <w:p w14:paraId="CD010000">
            <w:pPr>
              <w:pStyle w:val="Style_3"/>
              <w:ind w:firstLine="0"/>
              <w:jc w:val="center"/>
            </w:pPr>
            <w:r>
              <w:t>от 20 и более</w:t>
            </w:r>
          </w:p>
        </w:tc>
        <w:tc>
          <w:tcPr>
            <w:tcW w:type="dxa" w:w="5046"/>
            <w:tcBorders>
              <w:bottom w:color="000000" w:sz="4" w:val="single"/>
              <w:right w:color="000000" w:sz="4" w:val="single"/>
            </w:tcBorders>
            <w:vAlign w:val="top"/>
          </w:tcPr>
          <w:p w14:paraId="CE010000">
            <w:pPr>
              <w:pStyle w:val="Style_3"/>
              <w:ind w:firstLine="0"/>
              <w:jc w:val="center"/>
            </w:pPr>
            <w:r>
              <w:t>7,38</w:t>
            </w:r>
          </w:p>
        </w:tc>
      </w:tr>
      <w:tr>
        <w:tc>
          <w:tcPr>
            <w:tcW w:type="dxa" w:w="9922"/>
            <w:gridSpan w:val="2"/>
            <w:tcBorders>
              <w:left w:color="000000" w:sz="4" w:val="single"/>
              <w:bottom w:color="000000" w:sz="4" w:val="single"/>
              <w:right w:color="000000" w:sz="4" w:val="single"/>
            </w:tcBorders>
            <w:vAlign w:val="top"/>
          </w:tcPr>
          <w:p w14:paraId="CF010000">
            <w:pPr>
              <w:pStyle w:val="Style_3"/>
              <w:ind w:firstLine="0"/>
              <w:jc w:val="center"/>
            </w:pPr>
            <w:r>
              <w:t>самоходная техника</w:t>
            </w:r>
          </w:p>
        </w:tc>
      </w:tr>
      <w:tr>
        <w:tc>
          <w:tcPr>
            <w:tcW w:type="dxa" w:w="4876"/>
            <w:tcBorders>
              <w:left w:color="000000" w:sz="4" w:val="single"/>
              <w:bottom w:color="000000" w:sz="4" w:val="single"/>
              <w:right w:color="000000" w:sz="4" w:val="single"/>
            </w:tcBorders>
            <w:vAlign w:val="top"/>
          </w:tcPr>
          <w:p w14:paraId="D0010000">
            <w:pPr>
              <w:pStyle w:val="Style_3"/>
              <w:ind w:firstLine="0"/>
              <w:jc w:val="center"/>
            </w:pPr>
            <w:r>
              <w:t>до 0,3</w:t>
            </w:r>
          </w:p>
        </w:tc>
        <w:tc>
          <w:tcPr>
            <w:tcW w:type="dxa" w:w="5046"/>
            <w:tcBorders>
              <w:bottom w:color="000000" w:sz="4" w:val="single"/>
              <w:right w:color="000000" w:sz="4" w:val="single"/>
            </w:tcBorders>
            <w:vAlign w:val="top"/>
          </w:tcPr>
          <w:p w14:paraId="D1010000">
            <w:pPr>
              <w:pStyle w:val="Style_3"/>
              <w:ind w:firstLine="0"/>
              <w:jc w:val="center"/>
            </w:pPr>
            <w:r>
              <w:t>308,49</w:t>
            </w:r>
          </w:p>
        </w:tc>
      </w:tr>
      <w:tr>
        <w:tc>
          <w:tcPr>
            <w:tcW w:type="dxa" w:w="4876"/>
            <w:tcBorders>
              <w:left w:color="000000" w:sz="4" w:val="single"/>
              <w:bottom w:color="000000" w:sz="4" w:val="single"/>
              <w:right w:color="000000" w:sz="4" w:val="single"/>
            </w:tcBorders>
            <w:vAlign w:val="top"/>
          </w:tcPr>
          <w:p w14:paraId="D2010000">
            <w:pPr>
              <w:pStyle w:val="Style_3"/>
              <w:ind w:firstLine="0"/>
              <w:jc w:val="center"/>
            </w:pPr>
            <w:r>
              <w:t>до 0,7</w:t>
            </w:r>
          </w:p>
        </w:tc>
        <w:tc>
          <w:tcPr>
            <w:tcW w:type="dxa" w:w="5046"/>
            <w:tcBorders>
              <w:bottom w:color="000000" w:sz="4" w:val="single"/>
              <w:right w:color="000000" w:sz="4" w:val="single"/>
            </w:tcBorders>
            <w:vAlign w:val="top"/>
          </w:tcPr>
          <w:p w14:paraId="D3010000">
            <w:pPr>
              <w:pStyle w:val="Style_3"/>
              <w:ind w:firstLine="0"/>
              <w:jc w:val="center"/>
            </w:pPr>
            <w:r>
              <w:t>212,64</w:t>
            </w:r>
          </w:p>
        </w:tc>
      </w:tr>
      <w:tr>
        <w:tc>
          <w:tcPr>
            <w:tcW w:type="dxa" w:w="4876"/>
            <w:tcBorders>
              <w:left w:color="000000" w:sz="4" w:val="single"/>
              <w:bottom w:color="000000" w:sz="4" w:val="single"/>
              <w:right w:color="000000" w:sz="4" w:val="single"/>
            </w:tcBorders>
            <w:vAlign w:val="top"/>
          </w:tcPr>
          <w:p w14:paraId="D4010000">
            <w:pPr>
              <w:pStyle w:val="Style_3"/>
              <w:ind w:firstLine="0"/>
              <w:jc w:val="center"/>
            </w:pPr>
            <w:r>
              <w:t>до 1,5</w:t>
            </w:r>
          </w:p>
        </w:tc>
        <w:tc>
          <w:tcPr>
            <w:tcW w:type="dxa" w:w="5046"/>
            <w:tcBorders>
              <w:bottom w:color="000000" w:sz="4" w:val="single"/>
              <w:right w:color="000000" w:sz="4" w:val="single"/>
            </w:tcBorders>
            <w:vAlign w:val="top"/>
          </w:tcPr>
          <w:p w14:paraId="D5010000">
            <w:pPr>
              <w:pStyle w:val="Style_3"/>
              <w:ind w:firstLine="0"/>
              <w:jc w:val="center"/>
            </w:pPr>
            <w:r>
              <w:t>248,78</w:t>
            </w:r>
          </w:p>
        </w:tc>
      </w:tr>
      <w:tr>
        <w:tc>
          <w:tcPr>
            <w:tcW w:type="dxa" w:w="4876"/>
            <w:tcBorders>
              <w:left w:color="000000" w:sz="4" w:val="single"/>
              <w:bottom w:color="000000" w:sz="4" w:val="single"/>
              <w:right w:color="000000" w:sz="4" w:val="single"/>
            </w:tcBorders>
            <w:vAlign w:val="top"/>
          </w:tcPr>
          <w:p w14:paraId="D6010000">
            <w:pPr>
              <w:pStyle w:val="Style_3"/>
              <w:ind w:firstLine="0"/>
              <w:jc w:val="center"/>
            </w:pPr>
            <w:r>
              <w:t>до 3,5</w:t>
            </w:r>
          </w:p>
        </w:tc>
        <w:tc>
          <w:tcPr>
            <w:tcW w:type="dxa" w:w="5046"/>
            <w:tcBorders>
              <w:bottom w:color="000000" w:sz="4" w:val="single"/>
              <w:right w:color="000000" w:sz="4" w:val="single"/>
            </w:tcBorders>
            <w:vAlign w:val="top"/>
          </w:tcPr>
          <w:p w14:paraId="D7010000">
            <w:pPr>
              <w:pStyle w:val="Style_3"/>
              <w:ind w:firstLine="0"/>
              <w:jc w:val="center"/>
            </w:pPr>
            <w:r>
              <w:t>146,67</w:t>
            </w:r>
          </w:p>
        </w:tc>
      </w:tr>
    </w:tbl>
    <w:p w14:paraId="D8010000">
      <w:pPr>
        <w:pStyle w:val="Style_3"/>
      </w:pPr>
    </w:p>
    <w:p w14:paraId="D9010000">
      <w:r>
        <w:t xml:space="preserve">Приложение 3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DA010000">
      <w:pPr>
        <w:pStyle w:val="Style_3"/>
      </w:pPr>
    </w:p>
    <w:p w14:paraId="DB010000">
      <w:pPr>
        <w:pStyle w:val="Style_5"/>
        <w:rPr>
          <w:rFonts w:ascii="Courier New" w:hAnsi="Courier New"/>
          <w:sz w:val="20"/>
        </w:rPr>
      </w:pPr>
      <w:r>
        <w:rPr>
          <w:rFonts w:ascii="Courier New" w:hAnsi="Courier New"/>
          <w:sz w:val="20"/>
        </w:rPr>
        <w:t xml:space="preserve">                                    В Департамент</w:t>
      </w:r>
    </w:p>
    <w:p w14:paraId="DC010000">
      <w:pPr>
        <w:pStyle w:val="Style_5"/>
        <w:rPr>
          <w:rFonts w:ascii="Courier New" w:hAnsi="Courier New"/>
          <w:sz w:val="20"/>
        </w:rPr>
      </w:pPr>
      <w:r>
        <w:rPr>
          <w:rFonts w:ascii="Courier New" w:hAnsi="Courier New"/>
          <w:sz w:val="20"/>
        </w:rPr>
        <w:t xml:space="preserve">                                    природных ресурсов, экологии</w:t>
      </w:r>
    </w:p>
    <w:p w14:paraId="DD010000">
      <w:pPr>
        <w:pStyle w:val="Style_5"/>
        <w:rPr>
          <w:rFonts w:ascii="Courier New" w:hAnsi="Courier New"/>
          <w:sz w:val="20"/>
        </w:rPr>
      </w:pPr>
      <w:r>
        <w:rPr>
          <w:rFonts w:ascii="Courier New" w:hAnsi="Courier New"/>
          <w:sz w:val="20"/>
        </w:rPr>
        <w:t xml:space="preserve">                                    и агропромышленного комплекса</w:t>
      </w:r>
    </w:p>
    <w:p w14:paraId="DE010000">
      <w:pPr>
        <w:pStyle w:val="Style_5"/>
        <w:rPr>
          <w:rFonts w:ascii="Courier New" w:hAnsi="Courier New"/>
          <w:sz w:val="20"/>
        </w:rPr>
      </w:pPr>
      <w:r>
        <w:rPr>
          <w:rFonts w:ascii="Courier New" w:hAnsi="Courier New"/>
          <w:sz w:val="20"/>
        </w:rPr>
        <w:t xml:space="preserve">                                    Ненецкого автономного округа</w:t>
      </w:r>
    </w:p>
    <w:p w14:paraId="DF010000">
      <w:pPr>
        <w:pStyle w:val="Style_5"/>
        <w:rPr>
          <w:rFonts w:ascii="Courier New" w:hAnsi="Courier New"/>
          <w:sz w:val="20"/>
        </w:rPr>
      </w:pPr>
      <w:r>
        <w:rPr>
          <w:rFonts w:ascii="Courier New" w:hAnsi="Courier New"/>
          <w:sz w:val="20"/>
        </w:rPr>
        <w:t xml:space="preserve">                                    от __________________________________</w:t>
      </w:r>
    </w:p>
    <w:p w14:paraId="E0010000">
      <w:pPr>
        <w:pStyle w:val="Style_5"/>
        <w:rPr>
          <w:rFonts w:ascii="Courier New" w:hAnsi="Courier New"/>
          <w:sz w:val="20"/>
        </w:rPr>
      </w:pPr>
      <w:r>
        <w:rPr>
          <w:rFonts w:ascii="Courier New" w:hAnsi="Courier New"/>
          <w:sz w:val="20"/>
        </w:rPr>
        <w:t xml:space="preserve">                                       (наименование получателя субсидии)</w:t>
      </w:r>
    </w:p>
    <w:p w14:paraId="E1010000">
      <w:pPr>
        <w:pStyle w:val="Style_3"/>
      </w:pPr>
    </w:p>
    <w:p w14:paraId="E2010000">
      <w:pPr>
        <w:pStyle w:val="Style_5"/>
        <w:rPr>
          <w:rFonts w:ascii="Courier New" w:hAnsi="Courier New"/>
          <w:sz w:val="20"/>
        </w:rPr>
      </w:pPr>
      <w:r>
        <w:rPr>
          <w:rFonts w:ascii="Courier New" w:hAnsi="Courier New"/>
          <w:b w:val="1"/>
          <w:color w:val="26282F"/>
          <w:sz w:val="20"/>
        </w:rPr>
        <w:t xml:space="preserve">                                Заявление</w:t>
      </w:r>
    </w:p>
    <w:p w14:paraId="E3010000">
      <w:pPr>
        <w:pStyle w:val="Style_5"/>
        <w:rPr>
          <w:rFonts w:ascii="Courier New" w:hAnsi="Courier New"/>
          <w:sz w:val="20"/>
        </w:rPr>
      </w:pPr>
      <w:r>
        <w:rPr>
          <w:rFonts w:ascii="Courier New" w:hAnsi="Courier New"/>
          <w:b w:val="1"/>
          <w:color w:val="26282F"/>
          <w:sz w:val="20"/>
        </w:rPr>
        <w:t xml:space="preserve">                        о предоставлении субсидии</w:t>
      </w:r>
    </w:p>
    <w:p w14:paraId="E4010000">
      <w:pPr>
        <w:pStyle w:val="Style_5"/>
        <w:rPr>
          <w:rFonts w:ascii="Courier New" w:hAnsi="Courier New"/>
          <w:sz w:val="20"/>
        </w:rPr>
      </w:pPr>
      <w:r>
        <w:rPr>
          <w:rFonts w:ascii="Courier New" w:hAnsi="Courier New"/>
          <w:sz w:val="20"/>
        </w:rPr>
        <w:t xml:space="preserve">                   за _____________________ 20__ года</w:t>
      </w:r>
    </w:p>
    <w:p w14:paraId="E5010000">
      <w:pPr>
        <w:pStyle w:val="Style_3"/>
      </w:pPr>
    </w:p>
    <w:p w14:paraId="E6010000">
      <w:pPr>
        <w:pStyle w:val="Style_5"/>
        <w:rPr>
          <w:rFonts w:ascii="Courier New" w:hAnsi="Courier New"/>
          <w:sz w:val="20"/>
        </w:rPr>
      </w:pPr>
      <w:r>
        <w:rPr>
          <w:rFonts w:ascii="Courier New" w:hAnsi="Courier New"/>
          <w:sz w:val="20"/>
        </w:rPr>
        <w:t xml:space="preserve"> _______________________________________________________________________</w:t>
      </w:r>
    </w:p>
    <w:p w14:paraId="E7010000">
      <w:pPr>
        <w:pStyle w:val="Style_5"/>
        <w:rPr>
          <w:rFonts w:ascii="Courier New" w:hAnsi="Courier New"/>
          <w:sz w:val="20"/>
        </w:rPr>
      </w:pPr>
      <w:r>
        <w:rPr>
          <w:rFonts w:ascii="Courier New" w:hAnsi="Courier New"/>
          <w:sz w:val="20"/>
        </w:rPr>
        <w:t xml:space="preserve">       (наименование организации/индивидуального предпринимателя)</w:t>
      </w:r>
    </w:p>
    <w:p w14:paraId="E8010000">
      <w:pPr>
        <w:pStyle w:val="Style_3"/>
      </w:pPr>
    </w:p>
    <w:p w14:paraId="E9010000">
      <w:pPr>
        <w:pStyle w:val="Style_5"/>
        <w:rPr>
          <w:rFonts w:ascii="Courier New" w:hAnsi="Courier New"/>
          <w:sz w:val="20"/>
        </w:rPr>
      </w:pPr>
      <w:r>
        <w:rPr>
          <w:rFonts w:ascii="Courier New" w:hAnsi="Courier New"/>
          <w:sz w:val="20"/>
        </w:rPr>
        <w:t xml:space="preserve">     В соответствии с </w:t>
      </w:r>
      <w:r>
        <w:rPr>
          <w:rFonts w:ascii="Courier New" w:hAnsi="Courier New"/>
          <w:color w:val="0000FF"/>
          <w:sz w:val="20"/>
          <w:u w:val="single"/>
        </w:rPr>
        <w:fldChar w:fldCharType="begin"/>
      </w:r>
      <w:r>
        <w:rPr>
          <w:rFonts w:ascii="Courier New" w:hAnsi="Courier New"/>
          <w:color w:val="0000FF"/>
          <w:sz w:val="20"/>
          <w:u w:val="single"/>
        </w:rPr>
        <w:instrText>HYPERLINK \l "anchor10000"</w:instrText>
      </w:r>
      <w:r>
        <w:rPr>
          <w:rFonts w:ascii="Courier New" w:hAnsi="Courier New"/>
          <w:color w:val="0000FF"/>
          <w:sz w:val="20"/>
          <w:u w:val="single"/>
        </w:rPr>
        <w:fldChar w:fldCharType="separate"/>
      </w:r>
      <w:r>
        <w:rPr>
          <w:rFonts w:ascii="Courier New" w:hAnsi="Courier New"/>
          <w:color w:val="0000FF"/>
          <w:sz w:val="20"/>
          <w:u w:val="single"/>
        </w:rPr>
        <w:t>Порядком</w:t>
      </w:r>
      <w:r>
        <w:rPr>
          <w:rFonts w:ascii="Courier New" w:hAnsi="Courier New"/>
          <w:color w:val="0000FF"/>
          <w:sz w:val="20"/>
          <w:u w:val="single"/>
        </w:rPr>
        <w:fldChar w:fldCharType="end"/>
      </w:r>
      <w:r>
        <w:rPr>
          <w:rFonts w:ascii="Courier New" w:hAnsi="Courier New"/>
          <w:sz w:val="20"/>
        </w:rPr>
        <w:t xml:space="preserve"> предоставления субсидий в целях возмещения</w:t>
      </w:r>
    </w:p>
    <w:p w14:paraId="EA010000">
      <w:pPr>
        <w:pStyle w:val="Style_5"/>
        <w:rPr>
          <w:rFonts w:ascii="Courier New" w:hAnsi="Courier New"/>
          <w:sz w:val="20"/>
        </w:rPr>
      </w:pPr>
      <w:r>
        <w:rPr>
          <w:rFonts w:ascii="Courier New" w:hAnsi="Courier New"/>
          <w:sz w:val="20"/>
        </w:rPr>
        <w:t>затрат, возникающих в связи  с  реализацией  населению  продовольственных</w:t>
      </w:r>
    </w:p>
    <w:p w14:paraId="EB010000">
      <w:pPr>
        <w:pStyle w:val="Style_5"/>
        <w:rPr>
          <w:rFonts w:ascii="Courier New" w:hAnsi="Courier New"/>
          <w:sz w:val="20"/>
        </w:rPr>
      </w:pPr>
      <w:r>
        <w:rPr>
          <w:rFonts w:ascii="Courier New" w:hAnsi="Courier New"/>
          <w:sz w:val="20"/>
        </w:rPr>
        <w:t>товаров в части затрат по доставке в сельские населенные пункты Ненецкого</w:t>
      </w:r>
    </w:p>
    <w:p w14:paraId="EC010000">
      <w:pPr>
        <w:pStyle w:val="Style_5"/>
        <w:rPr>
          <w:rFonts w:ascii="Courier New" w:hAnsi="Courier New"/>
          <w:sz w:val="20"/>
        </w:rPr>
      </w:pPr>
      <w:r>
        <w:rPr>
          <w:rFonts w:ascii="Courier New" w:hAnsi="Courier New"/>
          <w:sz w:val="20"/>
        </w:rPr>
        <w:t xml:space="preserve">автономного округа, утвержденным </w:t>
      </w:r>
      <w:r>
        <w:rPr>
          <w:rFonts w:ascii="Courier New" w:hAnsi="Courier New"/>
          <w:color w:val="0000FF"/>
          <w:sz w:val="20"/>
          <w:u w:val="single"/>
        </w:rPr>
        <w:fldChar w:fldCharType="begin"/>
      </w:r>
      <w:r>
        <w:rPr>
          <w:rFonts w:ascii="Courier New" w:hAnsi="Courier New"/>
          <w:color w:val="0000FF"/>
          <w:sz w:val="20"/>
          <w:u w:val="single"/>
        </w:rPr>
        <w:instrText>HYPERLINK \l "anchor0"</w:instrText>
      </w:r>
      <w:r>
        <w:rPr>
          <w:rFonts w:ascii="Courier New" w:hAnsi="Courier New"/>
          <w:color w:val="0000FF"/>
          <w:sz w:val="20"/>
          <w:u w:val="single"/>
        </w:rPr>
        <w:fldChar w:fldCharType="separate"/>
      </w:r>
      <w:r>
        <w:rPr>
          <w:rFonts w:ascii="Courier New" w:hAnsi="Courier New"/>
          <w:color w:val="0000FF"/>
          <w:sz w:val="20"/>
          <w:u w:val="single"/>
        </w:rPr>
        <w:t>постановлением</w:t>
      </w:r>
      <w:r>
        <w:rPr>
          <w:rFonts w:ascii="Courier New" w:hAnsi="Courier New"/>
          <w:color w:val="0000FF"/>
          <w:sz w:val="20"/>
          <w:u w:val="single"/>
        </w:rPr>
        <w:fldChar w:fldCharType="end"/>
      </w:r>
      <w:r>
        <w:rPr>
          <w:rFonts w:ascii="Courier New" w:hAnsi="Courier New"/>
          <w:sz w:val="20"/>
        </w:rPr>
        <w:t xml:space="preserve">  Администрации  Ненецкого</w:t>
      </w:r>
    </w:p>
    <w:p w14:paraId="ED010000">
      <w:pPr>
        <w:pStyle w:val="Style_5"/>
        <w:rPr>
          <w:rFonts w:ascii="Courier New" w:hAnsi="Courier New"/>
          <w:sz w:val="20"/>
        </w:rPr>
      </w:pPr>
      <w:r>
        <w:rPr>
          <w:rFonts w:ascii="Courier New" w:hAnsi="Courier New"/>
          <w:sz w:val="20"/>
        </w:rPr>
        <w:t>автономного округа от 21.02.2025 N 28-п (далее - Порядок), Соглашением  о</w:t>
      </w:r>
    </w:p>
    <w:p w14:paraId="EE010000">
      <w:pPr>
        <w:pStyle w:val="Style_5"/>
        <w:rPr>
          <w:rFonts w:ascii="Courier New" w:hAnsi="Courier New"/>
          <w:sz w:val="20"/>
        </w:rPr>
      </w:pPr>
      <w:r>
        <w:rPr>
          <w:rFonts w:ascii="Courier New" w:hAnsi="Courier New"/>
          <w:sz w:val="20"/>
        </w:rPr>
        <w:t>предоставлении субсидии от ___________ N ____ прошу предоставить субсидию</w:t>
      </w:r>
    </w:p>
    <w:p w14:paraId="EF010000">
      <w:pPr>
        <w:pStyle w:val="Style_5"/>
        <w:rPr>
          <w:rFonts w:ascii="Courier New" w:hAnsi="Courier New"/>
          <w:sz w:val="20"/>
        </w:rPr>
      </w:pPr>
      <w:r>
        <w:rPr>
          <w:rFonts w:ascii="Courier New" w:hAnsi="Courier New"/>
          <w:sz w:val="20"/>
        </w:rPr>
        <w:t>в целях возмещения  затрат  по  доставке  продовольственных  товаров  для</w:t>
      </w:r>
    </w:p>
    <w:p w14:paraId="F0010000">
      <w:pPr>
        <w:pStyle w:val="Style_5"/>
        <w:rPr>
          <w:rFonts w:ascii="Courier New" w:hAnsi="Courier New"/>
          <w:sz w:val="20"/>
        </w:rPr>
      </w:pPr>
      <w:r>
        <w:rPr>
          <w:rFonts w:ascii="Courier New" w:hAnsi="Courier New"/>
          <w:sz w:val="20"/>
        </w:rPr>
        <w:t>реализации населению в _________________________________________________.</w:t>
      </w:r>
    </w:p>
    <w:p w14:paraId="F1010000">
      <w:pPr>
        <w:pStyle w:val="Style_5"/>
        <w:rPr>
          <w:rFonts w:ascii="Courier New" w:hAnsi="Courier New"/>
          <w:sz w:val="20"/>
        </w:rPr>
      </w:pPr>
      <w:r>
        <w:rPr>
          <w:rFonts w:ascii="Courier New" w:hAnsi="Courier New"/>
          <w:sz w:val="20"/>
        </w:rPr>
        <w:t xml:space="preserve">                           (наименование сельских населенных пунктов</w:t>
      </w:r>
    </w:p>
    <w:p w14:paraId="F2010000">
      <w:pPr>
        <w:pStyle w:val="Style_5"/>
        <w:rPr>
          <w:rFonts w:ascii="Courier New" w:hAnsi="Courier New"/>
          <w:sz w:val="20"/>
        </w:rPr>
      </w:pPr>
      <w:r>
        <w:rPr>
          <w:rFonts w:ascii="Courier New" w:hAnsi="Courier New"/>
          <w:sz w:val="20"/>
        </w:rPr>
        <w:t xml:space="preserve">                                  Ненецкого автономного округа)</w:t>
      </w:r>
    </w:p>
    <w:p w14:paraId="F3010000">
      <w:pPr>
        <w:pStyle w:val="Style_5"/>
        <w:rPr>
          <w:rFonts w:ascii="Courier New" w:hAnsi="Courier New"/>
          <w:sz w:val="20"/>
        </w:rPr>
      </w:pPr>
      <w:r>
        <w:rPr>
          <w:rFonts w:ascii="Courier New" w:hAnsi="Courier New"/>
          <w:sz w:val="20"/>
        </w:rPr>
        <w:t xml:space="preserve">     Решение прошу вручить лично или направить</w:t>
      </w:r>
    </w:p>
    <w:p w14:paraId="F4010000">
      <w:pPr>
        <w:pStyle w:val="Style_5"/>
        <w:rPr>
          <w:rFonts w:ascii="Courier New" w:hAnsi="Courier New"/>
          <w:sz w:val="20"/>
        </w:rPr>
      </w:pPr>
      <w:r>
        <w:rPr>
          <w:rFonts w:ascii="Courier New" w:hAnsi="Courier New"/>
          <w:sz w:val="20"/>
        </w:rPr>
        <w:t>_________________________________________________________________________</w:t>
      </w:r>
    </w:p>
    <w:p w14:paraId="F5010000">
      <w:pPr>
        <w:pStyle w:val="Style_5"/>
        <w:rPr>
          <w:rFonts w:ascii="Courier New" w:hAnsi="Courier New"/>
          <w:sz w:val="20"/>
        </w:rPr>
      </w:pPr>
      <w:r>
        <w:rPr>
          <w:rFonts w:ascii="Courier New" w:hAnsi="Courier New"/>
          <w:sz w:val="20"/>
        </w:rPr>
        <w:t xml:space="preserve">            (по электронной почте или почтовым отправлением)</w:t>
      </w:r>
    </w:p>
    <w:p w14:paraId="F6010000">
      <w:pPr>
        <w:pStyle w:val="Style_5"/>
        <w:rPr>
          <w:rFonts w:ascii="Courier New" w:hAnsi="Courier New"/>
          <w:sz w:val="20"/>
        </w:rPr>
      </w:pPr>
      <w:r>
        <w:rPr>
          <w:rFonts w:ascii="Courier New" w:hAnsi="Courier New"/>
          <w:sz w:val="20"/>
        </w:rPr>
        <w:t xml:space="preserve">     Настоящим подтверждаю, что _________________________________________</w:t>
      </w:r>
    </w:p>
    <w:p w14:paraId="F7010000">
      <w:pPr>
        <w:pStyle w:val="Style_5"/>
        <w:rPr>
          <w:rFonts w:ascii="Courier New" w:hAnsi="Courier New"/>
          <w:sz w:val="20"/>
        </w:rPr>
      </w:pPr>
      <w:r>
        <w:rPr>
          <w:rFonts w:ascii="Courier New" w:hAnsi="Courier New"/>
          <w:sz w:val="20"/>
        </w:rPr>
        <w:t>_________________________________________________________________________</w:t>
      </w:r>
    </w:p>
    <w:p w14:paraId="F8010000">
      <w:pPr>
        <w:pStyle w:val="Style_5"/>
        <w:rPr>
          <w:rFonts w:ascii="Courier New" w:hAnsi="Courier New"/>
          <w:sz w:val="20"/>
        </w:rPr>
      </w:pPr>
      <w:r>
        <w:rPr>
          <w:rFonts w:ascii="Courier New" w:hAnsi="Courier New"/>
          <w:sz w:val="20"/>
        </w:rPr>
        <w:t xml:space="preserve">  (полное и (или) сокращенное наименование организации/индивидуального</w:t>
      </w:r>
    </w:p>
    <w:p w14:paraId="F9010000">
      <w:pPr>
        <w:pStyle w:val="Style_5"/>
        <w:rPr>
          <w:rFonts w:ascii="Courier New" w:hAnsi="Courier New"/>
          <w:sz w:val="20"/>
        </w:rPr>
      </w:pPr>
      <w:r>
        <w:rPr>
          <w:rFonts w:ascii="Courier New" w:hAnsi="Courier New"/>
          <w:sz w:val="20"/>
        </w:rPr>
        <w:t xml:space="preserve">                            предпринимателя)</w:t>
      </w:r>
    </w:p>
    <w:p w14:paraId="FA010000">
      <w:pPr>
        <w:pStyle w:val="Style_5"/>
        <w:rPr>
          <w:rFonts w:ascii="Courier New" w:hAnsi="Courier New"/>
          <w:sz w:val="20"/>
        </w:rPr>
      </w:pPr>
      <w:r>
        <w:rPr>
          <w:rFonts w:ascii="Courier New" w:hAnsi="Courier New"/>
          <w:sz w:val="20"/>
        </w:rPr>
        <w:t>не  получает  средства  из  окружного  бюджета  в  соответствии  с  иными</w:t>
      </w:r>
    </w:p>
    <w:p w14:paraId="FB010000">
      <w:pPr>
        <w:pStyle w:val="Style_5"/>
        <w:rPr>
          <w:rFonts w:ascii="Courier New" w:hAnsi="Courier New"/>
          <w:sz w:val="20"/>
        </w:rPr>
      </w:pPr>
      <w:r>
        <w:rPr>
          <w:rFonts w:ascii="Courier New" w:hAnsi="Courier New"/>
          <w:sz w:val="20"/>
        </w:rPr>
        <w:t>нормативными правовыми  актами  Ненецкого  автономного  округа  на  цели,</w:t>
      </w:r>
    </w:p>
    <w:p w14:paraId="FC010000">
      <w:pPr>
        <w:pStyle w:val="Style_5"/>
        <w:rPr>
          <w:rFonts w:ascii="Courier New" w:hAnsi="Courier New"/>
          <w:sz w:val="20"/>
        </w:rPr>
      </w:pPr>
      <w:r>
        <w:rPr>
          <w:rFonts w:ascii="Courier New" w:hAnsi="Courier New"/>
          <w:sz w:val="20"/>
        </w:rPr>
        <w:t xml:space="preserve">указанные в </w:t>
      </w:r>
      <w:r>
        <w:rPr>
          <w:rFonts w:ascii="Courier New" w:hAnsi="Courier New"/>
          <w:color w:val="0000FF"/>
          <w:sz w:val="20"/>
          <w:u w:val="single"/>
        </w:rPr>
        <w:fldChar w:fldCharType="begin"/>
      </w:r>
      <w:r>
        <w:rPr>
          <w:rFonts w:ascii="Courier New" w:hAnsi="Courier New"/>
          <w:color w:val="0000FF"/>
          <w:sz w:val="20"/>
          <w:u w:val="single"/>
        </w:rPr>
        <w:instrText>HYPERLINK \l "anchor10003"</w:instrText>
      </w:r>
      <w:r>
        <w:rPr>
          <w:rFonts w:ascii="Courier New" w:hAnsi="Courier New"/>
          <w:color w:val="0000FF"/>
          <w:sz w:val="20"/>
          <w:u w:val="single"/>
        </w:rPr>
        <w:fldChar w:fldCharType="separate"/>
      </w:r>
      <w:r>
        <w:rPr>
          <w:rFonts w:ascii="Courier New" w:hAnsi="Courier New"/>
          <w:color w:val="0000FF"/>
          <w:sz w:val="20"/>
          <w:u w:val="single"/>
        </w:rPr>
        <w:t>пункте 3</w:t>
      </w:r>
      <w:r>
        <w:rPr>
          <w:rFonts w:ascii="Courier New" w:hAnsi="Courier New"/>
          <w:color w:val="0000FF"/>
          <w:sz w:val="20"/>
          <w:u w:val="single"/>
        </w:rPr>
        <w:fldChar w:fldCharType="end"/>
      </w:r>
      <w:r>
        <w:rPr>
          <w:rFonts w:ascii="Courier New" w:hAnsi="Courier New"/>
          <w:sz w:val="20"/>
        </w:rPr>
        <w:t xml:space="preserve"> Порядка.</w:t>
      </w:r>
    </w:p>
    <w:p w14:paraId="FD010000">
      <w:pPr>
        <w:pStyle w:val="Style_3"/>
      </w:pPr>
    </w:p>
    <w:p w14:paraId="FE010000">
      <w:pPr>
        <w:pStyle w:val="Style_5"/>
        <w:rPr>
          <w:rFonts w:ascii="Courier New" w:hAnsi="Courier New"/>
          <w:sz w:val="20"/>
        </w:rPr>
      </w:pPr>
      <w:bookmarkStart w:id="130" w:name="anchor3003"/>
      <w:bookmarkEnd w:id="130"/>
      <w:r>
        <w:rPr>
          <w:rFonts w:ascii="Courier New" w:hAnsi="Courier New"/>
          <w:sz w:val="20"/>
        </w:rPr>
        <w:t xml:space="preserve">     Настоящим подтверждаю, что _________________________________________</w:t>
      </w:r>
    </w:p>
    <w:p w14:paraId="FF010000">
      <w:pPr>
        <w:pStyle w:val="Style_5"/>
        <w:rPr>
          <w:rFonts w:ascii="Courier New" w:hAnsi="Courier New"/>
          <w:sz w:val="20"/>
        </w:rPr>
      </w:pPr>
      <w:r>
        <w:rPr>
          <w:rFonts w:ascii="Courier New" w:hAnsi="Courier New"/>
          <w:sz w:val="20"/>
        </w:rPr>
        <w:t>_________________________________________________________________________</w:t>
      </w:r>
    </w:p>
    <w:p w14:paraId="00020000">
      <w:pPr>
        <w:pStyle w:val="Style_5"/>
        <w:rPr>
          <w:rFonts w:ascii="Courier New" w:hAnsi="Courier New"/>
          <w:sz w:val="20"/>
        </w:rPr>
      </w:pPr>
      <w:r>
        <w:rPr>
          <w:rFonts w:ascii="Courier New" w:hAnsi="Courier New"/>
          <w:sz w:val="20"/>
        </w:rPr>
        <w:t xml:space="preserve">  (полное и (или) сокращенное наименование организации/индивидуального</w:t>
      </w:r>
    </w:p>
    <w:p w14:paraId="01020000">
      <w:pPr>
        <w:pStyle w:val="Style_5"/>
        <w:rPr>
          <w:rFonts w:ascii="Courier New" w:hAnsi="Courier New"/>
          <w:sz w:val="20"/>
        </w:rPr>
      </w:pPr>
      <w:r>
        <w:rPr>
          <w:rFonts w:ascii="Courier New" w:hAnsi="Courier New"/>
          <w:sz w:val="20"/>
        </w:rPr>
        <w:t xml:space="preserve">                             предпринимателя)</w:t>
      </w:r>
    </w:p>
    <w:p w14:paraId="02020000">
      <w:pPr>
        <w:pStyle w:val="Style_5"/>
        <w:rPr>
          <w:rFonts w:ascii="Courier New" w:hAnsi="Courier New"/>
          <w:sz w:val="20"/>
        </w:rPr>
      </w:pPr>
      <w:r>
        <w:rPr>
          <w:rFonts w:ascii="Courier New" w:hAnsi="Courier New"/>
          <w:sz w:val="20"/>
        </w:rPr>
        <w:t>является плательщиком налога на добавленную стоимость в размере _________</w:t>
      </w:r>
    </w:p>
    <w:p w14:paraId="03020000">
      <w:pPr>
        <w:pStyle w:val="Style_5"/>
        <w:rPr>
          <w:rFonts w:ascii="Courier New" w:hAnsi="Courier New"/>
          <w:sz w:val="20"/>
        </w:rPr>
      </w:pPr>
      <w:r>
        <w:rPr>
          <w:rFonts w:ascii="Courier New" w:hAnsi="Courier New"/>
          <w:sz w:val="20"/>
        </w:rPr>
        <w:t>процентов/ не  является  плательщиком  налога  на  добавленную  стоимость</w:t>
      </w:r>
    </w:p>
    <w:p w14:paraId="04020000">
      <w:pPr>
        <w:pStyle w:val="Style_5"/>
        <w:rPr>
          <w:rFonts w:ascii="Courier New" w:hAnsi="Courier New"/>
          <w:sz w:val="20"/>
        </w:rPr>
      </w:pPr>
      <w:r>
        <w:rPr>
          <w:rFonts w:ascii="Courier New" w:hAnsi="Courier New"/>
          <w:sz w:val="20"/>
        </w:rPr>
        <w:t>(нужное указать).</w:t>
      </w:r>
    </w:p>
    <w:p w14:paraId="05020000">
      <w:pPr>
        <w:pStyle w:val="Style_3"/>
      </w:pPr>
    </w:p>
    <w:p w14:paraId="06020000">
      <w:pPr>
        <w:pStyle w:val="Style_5"/>
        <w:rPr>
          <w:rFonts w:ascii="Courier New" w:hAnsi="Courier New"/>
          <w:sz w:val="20"/>
        </w:rPr>
      </w:pPr>
      <w:r>
        <w:rPr>
          <w:rFonts w:ascii="Courier New" w:hAnsi="Courier New"/>
          <w:sz w:val="20"/>
        </w:rPr>
        <w:t xml:space="preserve">     Подтверждаю,  что настоящее заявление и прилагаемые к нему документы</w:t>
      </w:r>
    </w:p>
    <w:p w14:paraId="07020000">
      <w:pPr>
        <w:pStyle w:val="Style_5"/>
        <w:rPr>
          <w:rFonts w:ascii="Courier New" w:hAnsi="Courier New"/>
          <w:sz w:val="20"/>
        </w:rPr>
      </w:pPr>
      <w:r>
        <w:rPr>
          <w:rFonts w:ascii="Courier New" w:hAnsi="Courier New"/>
          <w:sz w:val="20"/>
        </w:rPr>
        <w:t>являются  достоверными, а также сведения, указанные в настоящем заявлении</w:t>
      </w:r>
    </w:p>
    <w:p w14:paraId="08020000">
      <w:pPr>
        <w:pStyle w:val="Style_5"/>
        <w:rPr>
          <w:rFonts w:ascii="Courier New" w:hAnsi="Courier New"/>
          <w:sz w:val="20"/>
        </w:rPr>
      </w:pPr>
      <w:r>
        <w:rPr>
          <w:rFonts w:ascii="Courier New" w:hAnsi="Courier New"/>
          <w:sz w:val="20"/>
        </w:rPr>
        <w:t>и прилагаемых к нему документах, - полными и достоверными.</w:t>
      </w:r>
    </w:p>
    <w:p w14:paraId="09020000">
      <w:pPr>
        <w:pStyle w:val="Style_5"/>
        <w:rPr>
          <w:rFonts w:ascii="Courier New" w:hAnsi="Courier New"/>
          <w:sz w:val="20"/>
        </w:rPr>
      </w:pPr>
      <w:r>
        <w:rPr>
          <w:rFonts w:ascii="Courier New" w:hAnsi="Courier New"/>
          <w:sz w:val="20"/>
        </w:rPr>
        <w:t xml:space="preserve">     Даю  согласие  на  проведение  проверки  изложенных обстоятельств на</w:t>
      </w:r>
    </w:p>
    <w:p w14:paraId="0A020000">
      <w:pPr>
        <w:pStyle w:val="Style_5"/>
        <w:rPr>
          <w:rFonts w:ascii="Courier New" w:hAnsi="Courier New"/>
          <w:sz w:val="20"/>
        </w:rPr>
      </w:pPr>
      <w:r>
        <w:rPr>
          <w:rFonts w:ascii="Courier New" w:hAnsi="Courier New"/>
          <w:sz w:val="20"/>
        </w:rPr>
        <w:t>предмет достоверности.</w:t>
      </w:r>
    </w:p>
    <w:p w14:paraId="0B020000">
      <w:pPr>
        <w:pStyle w:val="Style_3"/>
      </w:pPr>
    </w:p>
    <w:p w14:paraId="0C020000">
      <w:pPr>
        <w:pStyle w:val="Style_5"/>
        <w:rPr>
          <w:rFonts w:ascii="Courier New" w:hAnsi="Courier New"/>
          <w:sz w:val="20"/>
        </w:rPr>
      </w:pPr>
      <w:r>
        <w:rPr>
          <w:rFonts w:ascii="Courier New" w:hAnsi="Courier New"/>
          <w:sz w:val="20"/>
        </w:rPr>
        <w:t>Приложение: документы согласно описи на _____ л. в ____ экз.</w:t>
      </w:r>
    </w:p>
    <w:p w14:paraId="0D020000">
      <w:pPr>
        <w:pStyle w:val="Style_3"/>
      </w:pPr>
    </w:p>
    <w:p w14:paraId="0E020000">
      <w:pPr>
        <w:pStyle w:val="Style_5"/>
        <w:rPr>
          <w:rFonts w:ascii="Courier New" w:hAnsi="Courier New"/>
          <w:sz w:val="20"/>
        </w:rPr>
      </w:pPr>
      <w:r>
        <w:rPr>
          <w:rFonts w:ascii="Courier New" w:hAnsi="Courier New"/>
          <w:sz w:val="20"/>
        </w:rPr>
        <w:t>Руководитель юридического лица/</w:t>
      </w:r>
    </w:p>
    <w:p w14:paraId="0F020000">
      <w:pPr>
        <w:pStyle w:val="Style_5"/>
        <w:rPr>
          <w:rFonts w:ascii="Courier New" w:hAnsi="Courier New"/>
          <w:sz w:val="20"/>
        </w:rPr>
      </w:pPr>
      <w:r>
        <w:rPr>
          <w:rFonts w:ascii="Courier New" w:hAnsi="Courier New"/>
          <w:sz w:val="20"/>
        </w:rPr>
        <w:t>индивидуальный предприниматель/</w:t>
      </w:r>
    </w:p>
    <w:p w14:paraId="10020000">
      <w:pPr>
        <w:pStyle w:val="Style_5"/>
        <w:rPr>
          <w:rFonts w:ascii="Courier New" w:hAnsi="Courier New"/>
          <w:sz w:val="20"/>
        </w:rPr>
      </w:pPr>
      <w:r>
        <w:rPr>
          <w:rFonts w:ascii="Courier New" w:hAnsi="Courier New"/>
          <w:sz w:val="20"/>
        </w:rPr>
        <w:t>представитель по доверенности   _________________   _____________________</w:t>
      </w:r>
    </w:p>
    <w:p w14:paraId="11020000">
      <w:pPr>
        <w:pStyle w:val="Style_5"/>
        <w:rPr>
          <w:rFonts w:ascii="Courier New" w:hAnsi="Courier New"/>
          <w:sz w:val="20"/>
        </w:rPr>
      </w:pPr>
      <w:r>
        <w:rPr>
          <w:rFonts w:ascii="Courier New" w:hAnsi="Courier New"/>
          <w:sz w:val="20"/>
        </w:rPr>
        <w:t xml:space="preserve">                                    (подпись)       (расшифровка подписи)</w:t>
      </w:r>
    </w:p>
    <w:p w14:paraId="12020000">
      <w:pPr>
        <w:pStyle w:val="Style_3"/>
      </w:pPr>
    </w:p>
    <w:p w14:paraId="13020000">
      <w:pPr>
        <w:pStyle w:val="Style_5"/>
        <w:rPr>
          <w:rFonts w:ascii="Courier New" w:hAnsi="Courier New"/>
          <w:sz w:val="20"/>
        </w:rPr>
      </w:pPr>
      <w:r>
        <w:rPr>
          <w:rFonts w:ascii="Courier New" w:hAnsi="Courier New"/>
          <w:sz w:val="20"/>
        </w:rPr>
        <w:t>М.П.</w:t>
      </w:r>
    </w:p>
    <w:p w14:paraId="14020000">
      <w:pPr>
        <w:pStyle w:val="Style_3"/>
      </w:pPr>
    </w:p>
    <w:p w14:paraId="15020000">
      <w:pPr>
        <w:pStyle w:val="Style_5"/>
        <w:rPr>
          <w:rFonts w:ascii="Courier New" w:hAnsi="Courier New"/>
          <w:sz w:val="20"/>
        </w:rPr>
      </w:pPr>
      <w:r>
        <w:rPr>
          <w:rFonts w:ascii="Courier New" w:hAnsi="Courier New"/>
          <w:sz w:val="20"/>
        </w:rPr>
        <w:t>"___" ________ 20___ г.</w:t>
      </w:r>
    </w:p>
    <w:p w14:paraId="16020000">
      <w:pPr>
        <w:pStyle w:val="Style_3"/>
      </w:pPr>
    </w:p>
    <w:p w14:paraId="17020000">
      <w:bookmarkStart w:id="131" w:name="anchor4000"/>
      <w:bookmarkEnd w:id="131"/>
      <w:r>
        <w:t xml:space="preserve">Приложение 4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18020000">
      <w:pPr>
        <w:pStyle w:val="Style_3"/>
      </w:pPr>
    </w:p>
    <w:p w14:paraId="19020000">
      <w:pPr>
        <w:pStyle w:val="Style_5"/>
        <w:rPr>
          <w:rFonts w:ascii="Courier New" w:hAnsi="Courier New"/>
          <w:sz w:val="22"/>
        </w:rPr>
      </w:pPr>
      <w:r>
        <w:rPr>
          <w:rFonts w:ascii="Courier New" w:hAnsi="Courier New"/>
          <w:b w:val="1"/>
          <w:color w:val="26282F"/>
          <w:sz w:val="22"/>
        </w:rPr>
        <w:t xml:space="preserve">                     Реестр продовольственных товаров</w:t>
      </w:r>
    </w:p>
    <w:p w14:paraId="1A020000">
      <w:pPr>
        <w:pStyle w:val="Style_5"/>
        <w:rPr>
          <w:rFonts w:ascii="Courier New" w:hAnsi="Courier New"/>
          <w:sz w:val="22"/>
        </w:rPr>
      </w:pPr>
      <w:r>
        <w:rPr>
          <w:rFonts w:ascii="Courier New" w:hAnsi="Courier New"/>
          <w:b w:val="1"/>
          <w:color w:val="26282F"/>
          <w:sz w:val="22"/>
        </w:rPr>
        <w:t xml:space="preserve">                         за __________ 20__ года</w:t>
      </w:r>
    </w:p>
    <w:p w14:paraId="1B020000">
      <w:pPr>
        <w:pStyle w:val="Style_5"/>
        <w:rPr>
          <w:rFonts w:ascii="Courier New" w:hAnsi="Courier New"/>
          <w:sz w:val="22"/>
        </w:rPr>
      </w:pPr>
      <w:r>
        <w:rPr>
          <w:rFonts w:ascii="Courier New" w:hAnsi="Courier New"/>
          <w:sz w:val="22"/>
        </w:rPr>
        <w:t xml:space="preserve">         _______________________________________________________</w:t>
      </w:r>
    </w:p>
    <w:p w14:paraId="1C020000">
      <w:pPr>
        <w:pStyle w:val="Style_5"/>
        <w:rPr>
          <w:rFonts w:ascii="Courier New" w:hAnsi="Courier New"/>
          <w:sz w:val="22"/>
        </w:rPr>
      </w:pPr>
      <w:r>
        <w:rPr>
          <w:rFonts w:ascii="Courier New" w:hAnsi="Courier New"/>
          <w:sz w:val="22"/>
        </w:rPr>
        <w:t xml:space="preserve">                         (наименование заявителя)</w:t>
      </w:r>
    </w:p>
    <w:p w14:paraId="1D020000">
      <w:pPr>
        <w:pStyle w:val="Style_3"/>
      </w:pPr>
    </w:p>
    <w:p w14:paraId="1E020000">
      <w:pPr>
        <w:sectPr>
          <w:pgSz w:h="16838" w:orient="portrait" w:w="11906"/>
          <w:pgMar w:bottom="794" w:footer="794" w:header="794" w:left="794" w:right="794" w:top="794"/>
          <w:pgNumType w:fmt="decimal"/>
        </w:sectPr>
      </w:pPr>
    </w:p>
    <w:p w14:paraId="1F020000">
      <w:pPr>
        <w:pStyle w:val="Style_1"/>
      </w:pPr>
    </w:p>
    <w:tbl>
      <w:tblPr>
        <w:tblW w:type="auto" w:w="0"/>
        <w:jc w:val="left"/>
        <w:tblLayout w:type="fixed"/>
      </w:tblPr>
      <w:tblGrid>
        <w:gridCol w:w="567"/>
        <w:gridCol w:w="1247"/>
        <w:gridCol w:w="1814"/>
        <w:gridCol w:w="1417"/>
        <w:gridCol w:w="680"/>
        <w:gridCol w:w="850"/>
        <w:gridCol w:w="1417"/>
        <w:gridCol w:w="964"/>
        <w:gridCol w:w="1247"/>
        <w:gridCol w:w="1247"/>
      </w:tblGrid>
      <w:tr>
        <w:tc>
          <w:tcPr>
            <w:tcW w:type="dxa" w:w="567"/>
            <w:vMerge w:val="restart"/>
            <w:tcBorders>
              <w:top w:color="000000" w:sz="4" w:val="single"/>
              <w:left w:color="000000" w:sz="4" w:val="single"/>
              <w:bottom w:color="000000" w:sz="4" w:val="single"/>
              <w:right w:color="000000" w:sz="4" w:val="single"/>
            </w:tcBorders>
            <w:vAlign w:val="top"/>
          </w:tcPr>
          <w:p w14:paraId="20020000">
            <w:pPr>
              <w:pStyle w:val="Style_3"/>
              <w:ind w:firstLine="0"/>
              <w:jc w:val="center"/>
            </w:pPr>
            <w:r>
              <w:t>N п/п</w:t>
            </w:r>
          </w:p>
        </w:tc>
        <w:tc>
          <w:tcPr>
            <w:tcW w:type="dxa" w:w="1247"/>
            <w:vMerge w:val="restart"/>
            <w:tcBorders>
              <w:top w:color="000000" w:sz="4" w:val="single"/>
              <w:bottom w:color="000000" w:sz="4" w:val="single"/>
              <w:right w:color="000000" w:sz="4" w:val="single"/>
            </w:tcBorders>
            <w:vAlign w:val="top"/>
          </w:tcPr>
          <w:p w14:paraId="21020000">
            <w:pPr>
              <w:pStyle w:val="Style_3"/>
              <w:ind w:firstLine="0"/>
              <w:jc w:val="center"/>
            </w:pPr>
            <w:r>
              <w:t>Наименование товаров по документам поставщика</w:t>
            </w:r>
          </w:p>
        </w:tc>
        <w:tc>
          <w:tcPr>
            <w:tcW w:type="dxa" w:w="1814"/>
            <w:vMerge w:val="restart"/>
            <w:tcBorders>
              <w:top w:color="000000" w:sz="4" w:val="single"/>
              <w:bottom w:color="000000" w:sz="4" w:val="single"/>
              <w:right w:color="000000" w:sz="4" w:val="single"/>
            </w:tcBorders>
            <w:vAlign w:val="top"/>
          </w:tcPr>
          <w:p w14:paraId="22020000">
            <w:pPr>
              <w:pStyle w:val="Style_3"/>
              <w:ind w:firstLine="0"/>
              <w:jc w:val="center"/>
            </w:pPr>
            <w:r>
              <w:t>Реквизиты документа, подтверждающего приобретение товара (товарные документы)</w:t>
            </w:r>
          </w:p>
        </w:tc>
        <w:tc>
          <w:tcPr>
            <w:tcW w:type="dxa" w:w="2097"/>
            <w:gridSpan w:val="2"/>
            <w:tcBorders>
              <w:top w:color="000000" w:sz="4" w:val="single"/>
              <w:bottom w:color="000000" w:sz="4" w:val="single"/>
              <w:right w:color="000000" w:sz="4" w:val="single"/>
            </w:tcBorders>
            <w:vAlign w:val="top"/>
          </w:tcPr>
          <w:p w14:paraId="23020000">
            <w:pPr>
              <w:pStyle w:val="Style_3"/>
              <w:ind w:firstLine="0"/>
              <w:jc w:val="center"/>
            </w:pPr>
            <w:r>
              <w:t>Единица измерения</w:t>
            </w:r>
          </w:p>
        </w:tc>
        <w:tc>
          <w:tcPr>
            <w:tcW w:type="dxa" w:w="850"/>
            <w:vMerge w:val="restart"/>
            <w:tcBorders>
              <w:top w:color="000000" w:sz="4" w:val="single"/>
              <w:bottom w:color="000000" w:sz="4" w:val="single"/>
              <w:right w:color="000000" w:sz="4" w:val="single"/>
            </w:tcBorders>
            <w:vAlign w:val="top"/>
          </w:tcPr>
          <w:p w14:paraId="24020000">
            <w:pPr>
              <w:pStyle w:val="Style_3"/>
              <w:ind w:firstLine="0"/>
              <w:jc w:val="center"/>
            </w:pPr>
            <w:r>
              <w:t>Масса брутто, кг</w:t>
            </w:r>
          </w:p>
        </w:tc>
        <w:tc>
          <w:tcPr>
            <w:tcW w:type="dxa" w:w="1417"/>
            <w:vMerge w:val="restart"/>
            <w:tcBorders>
              <w:top w:color="000000" w:sz="4" w:val="single"/>
              <w:bottom w:color="000000" w:sz="4" w:val="single"/>
              <w:right w:color="000000" w:sz="4" w:val="single"/>
            </w:tcBorders>
            <w:vAlign w:val="top"/>
          </w:tcPr>
          <w:p w14:paraId="25020000">
            <w:pPr>
              <w:pStyle w:val="Style_3"/>
              <w:ind w:firstLine="0"/>
              <w:jc w:val="center"/>
            </w:pPr>
            <w:r>
              <w:t>Цена по документам поставщика (закупочная цена), руб. коп.</w:t>
            </w:r>
          </w:p>
        </w:tc>
        <w:tc>
          <w:tcPr>
            <w:tcW w:type="dxa" w:w="964"/>
            <w:vMerge w:val="restart"/>
            <w:tcBorders>
              <w:top w:color="000000" w:sz="4" w:val="single"/>
              <w:bottom w:color="000000" w:sz="4" w:val="single"/>
              <w:right w:color="000000" w:sz="4" w:val="single"/>
            </w:tcBorders>
            <w:vAlign w:val="top"/>
          </w:tcPr>
          <w:p w14:paraId="26020000">
            <w:pPr>
              <w:pStyle w:val="Style_3"/>
              <w:ind w:firstLine="0"/>
              <w:jc w:val="center"/>
            </w:pPr>
            <w:r>
              <w:t>Размер наценки к закупочной цене, %</w:t>
            </w:r>
          </w:p>
        </w:tc>
        <w:tc>
          <w:tcPr>
            <w:tcW w:type="dxa" w:w="1247"/>
            <w:vMerge w:val="restart"/>
            <w:tcBorders>
              <w:top w:color="000000" w:sz="4" w:val="single"/>
              <w:bottom w:color="000000" w:sz="4" w:val="single"/>
              <w:right w:color="000000" w:sz="4" w:val="single"/>
            </w:tcBorders>
            <w:vAlign w:val="top"/>
          </w:tcPr>
          <w:p w14:paraId="27020000">
            <w:pPr>
              <w:pStyle w:val="Style_3"/>
              <w:ind w:firstLine="0"/>
              <w:jc w:val="center"/>
            </w:pPr>
            <w:r>
              <w:t>Цена реализации с учетом наценки, руб. коп.</w:t>
            </w:r>
          </w:p>
        </w:tc>
        <w:tc>
          <w:tcPr>
            <w:tcW w:type="dxa" w:w="1247"/>
            <w:vMerge w:val="restart"/>
            <w:tcBorders>
              <w:top w:color="000000" w:sz="4" w:val="single"/>
              <w:bottom w:color="000000" w:sz="4" w:val="single"/>
              <w:right w:color="000000" w:sz="4" w:val="single"/>
            </w:tcBorders>
            <w:vAlign w:val="top"/>
          </w:tcPr>
          <w:p w14:paraId="28020000">
            <w:pPr>
              <w:pStyle w:val="Style_3"/>
              <w:ind w:firstLine="0"/>
              <w:jc w:val="center"/>
            </w:pPr>
            <w:r>
              <w:t>Фактическая цена реализации в торговой сети, руб. коп.</w:t>
            </w:r>
          </w:p>
        </w:tc>
      </w:tr>
      <w:tr>
        <w:tc>
          <w:tcPr>
            <w:tcW w:type="dxa" w:w="567"/>
            <w:gridSpan w:val="1"/>
            <w:vMerge w:val="continue"/>
            <w:tcBorders>
              <w:top w:color="000000" w:sz="4" w:val="single"/>
              <w:left w:color="000000" w:sz="4" w:val="single"/>
              <w:bottom w:color="000000" w:sz="4" w:val="single"/>
              <w:right w:color="000000" w:sz="4" w:val="single"/>
            </w:tcBorders>
            <w:vAlign w:val="top"/>
          </w:tcPr>
          <w:p/>
        </w:tc>
        <w:tc>
          <w:tcPr>
            <w:tcW w:type="dxa" w:w="1247"/>
            <w:gridSpan w:val="1"/>
            <w:vMerge w:val="continue"/>
            <w:tcBorders>
              <w:top w:color="000000" w:sz="4" w:val="single"/>
              <w:bottom w:color="000000" w:sz="4" w:val="single"/>
              <w:right w:color="000000" w:sz="4" w:val="single"/>
            </w:tcBorders>
            <w:vAlign w:val="top"/>
          </w:tcPr>
          <w:p/>
        </w:tc>
        <w:tc>
          <w:tcPr>
            <w:tcW w:type="dxa" w:w="1814"/>
            <w:gridSpan w:val="1"/>
            <w:vMerge w:val="continue"/>
            <w:tcBorders>
              <w:top w:color="000000" w:sz="4" w:val="single"/>
              <w:bottom w:color="000000" w:sz="4" w:val="single"/>
              <w:right w:color="000000" w:sz="4" w:val="single"/>
            </w:tcBorders>
            <w:vAlign w:val="top"/>
          </w:tcPr>
          <w:p/>
        </w:tc>
        <w:tc>
          <w:tcPr>
            <w:tcW w:type="dxa" w:w="1417"/>
          </w:tcPr>
          <w:p/>
        </w:tc>
        <w:tc>
          <w:tcPr>
            <w:tcW w:type="dxa" w:w="680"/>
          </w:tcPr>
          <w:p/>
        </w:tc>
        <w:tc>
          <w:tcPr>
            <w:tcW w:type="dxa" w:w="850"/>
            <w:gridSpan w:val="1"/>
            <w:vMerge w:val="continue"/>
            <w:tcBorders>
              <w:top w:color="000000" w:sz="4" w:val="single"/>
              <w:bottom w:color="000000" w:sz="4" w:val="single"/>
              <w:right w:color="000000" w:sz="4" w:val="single"/>
            </w:tcBorders>
            <w:vAlign w:val="top"/>
          </w:tcPr>
          <w:p/>
        </w:tc>
        <w:tc>
          <w:tcPr>
            <w:tcW w:type="dxa" w:w="1417"/>
            <w:gridSpan w:val="1"/>
            <w:vMerge w:val="continue"/>
            <w:tcBorders>
              <w:top w:color="000000" w:sz="4" w:val="single"/>
              <w:bottom w:color="000000" w:sz="4" w:val="single"/>
              <w:right w:color="000000" w:sz="4" w:val="single"/>
            </w:tcBorders>
            <w:vAlign w:val="top"/>
          </w:tcPr>
          <w:p/>
        </w:tc>
        <w:tc>
          <w:tcPr>
            <w:tcW w:type="dxa" w:w="964"/>
            <w:gridSpan w:val="1"/>
            <w:vMerge w:val="continue"/>
            <w:tcBorders>
              <w:top w:color="000000" w:sz="4" w:val="single"/>
              <w:bottom w:color="000000" w:sz="4" w:val="single"/>
              <w:right w:color="000000" w:sz="4" w:val="single"/>
            </w:tcBorders>
            <w:vAlign w:val="top"/>
          </w:tcPr>
          <w:p/>
        </w:tc>
        <w:tc>
          <w:tcPr>
            <w:tcW w:type="dxa" w:w="1247"/>
            <w:gridSpan w:val="1"/>
            <w:vMerge w:val="continue"/>
            <w:tcBorders>
              <w:top w:color="000000" w:sz="4" w:val="single"/>
              <w:bottom w:color="000000" w:sz="4" w:val="single"/>
              <w:right w:color="000000" w:sz="4" w:val="single"/>
            </w:tcBorders>
            <w:vAlign w:val="top"/>
          </w:tcPr>
          <w:p/>
        </w:tc>
        <w:tc>
          <w:tcPr>
            <w:tcW w:type="dxa" w:w="1247"/>
            <w:gridSpan w:val="1"/>
            <w:vMerge w:val="continue"/>
            <w:tcBorders>
              <w:top w:color="000000" w:sz="4" w:val="single"/>
              <w:bottom w:color="000000" w:sz="4" w:val="single"/>
              <w:right w:color="000000" w:sz="4" w:val="single"/>
            </w:tcBorders>
            <w:vAlign w:val="top"/>
          </w:tcPr>
          <w:p/>
        </w:tc>
      </w:tr>
      <w:tr>
        <w:tc>
          <w:tcPr>
            <w:tcW w:type="dxa" w:w="567"/>
            <w:tcBorders>
              <w:left w:color="000000" w:sz="4" w:val="single"/>
              <w:bottom w:color="000000" w:sz="4" w:val="single"/>
              <w:right w:color="000000" w:sz="4" w:val="single"/>
            </w:tcBorders>
            <w:vAlign w:val="top"/>
          </w:tcPr>
          <w:p w14:paraId="29020000">
            <w:pPr>
              <w:pStyle w:val="Style_3"/>
              <w:ind w:firstLine="0"/>
              <w:jc w:val="center"/>
            </w:pPr>
            <w:r>
              <w:t>1</w:t>
            </w:r>
          </w:p>
        </w:tc>
        <w:tc>
          <w:tcPr>
            <w:tcW w:type="dxa" w:w="1247"/>
            <w:tcBorders>
              <w:bottom w:color="000000" w:sz="4" w:val="single"/>
              <w:right w:color="000000" w:sz="4" w:val="single"/>
            </w:tcBorders>
            <w:vAlign w:val="top"/>
          </w:tcPr>
          <w:p w14:paraId="2A020000">
            <w:pPr>
              <w:pStyle w:val="Style_3"/>
              <w:ind w:firstLine="0"/>
              <w:jc w:val="center"/>
            </w:pPr>
            <w:r>
              <w:t>2</w:t>
            </w:r>
            <w:r>
              <w:t> </w:t>
            </w:r>
            <w:r>
              <w:rPr>
                <w:color w:val="0000FF"/>
                <w:u w:val="single"/>
              </w:rPr>
              <w:fldChar w:fldCharType="begin"/>
            </w:r>
            <w:r>
              <w:rPr>
                <w:color w:val="0000FF"/>
                <w:u w:val="single"/>
              </w:rPr>
              <w:instrText>HYPERLINK \l "anchor4111"</w:instrText>
            </w:r>
            <w:r>
              <w:rPr>
                <w:color w:val="0000FF"/>
                <w:u w:val="single"/>
              </w:rPr>
              <w:fldChar w:fldCharType="separate"/>
            </w:r>
            <w:r>
              <w:rPr>
                <w:color w:val="0000FF"/>
                <w:u w:val="single"/>
              </w:rPr>
              <w:t>1</w:t>
            </w:r>
            <w:r>
              <w:rPr>
                <w:color w:val="0000FF"/>
                <w:u w:val="single"/>
              </w:rPr>
              <w:fldChar w:fldCharType="end"/>
            </w:r>
          </w:p>
        </w:tc>
        <w:tc>
          <w:tcPr>
            <w:tcW w:type="dxa" w:w="1814"/>
            <w:tcBorders>
              <w:bottom w:color="000000" w:sz="4" w:val="single"/>
              <w:right w:color="000000" w:sz="4" w:val="single"/>
            </w:tcBorders>
            <w:vAlign w:val="top"/>
          </w:tcPr>
          <w:p w14:paraId="2B020000">
            <w:pPr>
              <w:pStyle w:val="Style_3"/>
              <w:ind w:firstLine="0"/>
              <w:jc w:val="center"/>
            </w:pPr>
            <w:r>
              <w:t>3</w:t>
            </w:r>
          </w:p>
        </w:tc>
        <w:tc>
          <w:tcPr>
            <w:tcW w:type="dxa" w:w="1417"/>
            <w:tcBorders>
              <w:bottom w:color="000000" w:sz="4" w:val="single"/>
              <w:right w:color="000000" w:sz="4" w:val="single"/>
            </w:tcBorders>
            <w:vAlign w:val="top"/>
          </w:tcPr>
          <w:p w14:paraId="2C020000">
            <w:pPr>
              <w:pStyle w:val="Style_3"/>
              <w:ind w:firstLine="0"/>
              <w:jc w:val="center"/>
            </w:pPr>
            <w:r>
              <w:t>4</w:t>
            </w:r>
          </w:p>
        </w:tc>
        <w:tc>
          <w:tcPr>
            <w:tcW w:type="dxa" w:w="680"/>
            <w:tcBorders>
              <w:bottom w:color="000000" w:sz="4" w:val="single"/>
              <w:right w:color="000000" w:sz="4" w:val="single"/>
            </w:tcBorders>
            <w:vAlign w:val="top"/>
          </w:tcPr>
          <w:p w14:paraId="2D020000">
            <w:pPr>
              <w:pStyle w:val="Style_3"/>
              <w:ind w:firstLine="0"/>
              <w:jc w:val="center"/>
            </w:pPr>
            <w:r>
              <w:t>5</w:t>
            </w:r>
          </w:p>
        </w:tc>
        <w:tc>
          <w:tcPr>
            <w:tcW w:type="dxa" w:w="850"/>
            <w:tcBorders>
              <w:bottom w:color="000000" w:sz="4" w:val="single"/>
              <w:right w:color="000000" w:sz="4" w:val="single"/>
            </w:tcBorders>
            <w:vAlign w:val="top"/>
          </w:tcPr>
          <w:p w14:paraId="2E020000">
            <w:pPr>
              <w:pStyle w:val="Style_3"/>
              <w:ind w:firstLine="0"/>
              <w:jc w:val="center"/>
            </w:pPr>
            <w:r>
              <w:t>6</w:t>
            </w:r>
          </w:p>
        </w:tc>
        <w:tc>
          <w:tcPr>
            <w:tcW w:type="dxa" w:w="1417"/>
            <w:tcBorders>
              <w:bottom w:color="000000" w:sz="4" w:val="single"/>
              <w:right w:color="000000" w:sz="4" w:val="single"/>
            </w:tcBorders>
            <w:vAlign w:val="top"/>
          </w:tcPr>
          <w:p w14:paraId="2F020000">
            <w:pPr>
              <w:pStyle w:val="Style_3"/>
              <w:ind w:firstLine="0"/>
              <w:jc w:val="center"/>
            </w:pPr>
            <w:r>
              <w:t>7</w:t>
            </w:r>
          </w:p>
        </w:tc>
        <w:tc>
          <w:tcPr>
            <w:tcW w:type="dxa" w:w="964"/>
            <w:tcBorders>
              <w:bottom w:color="000000" w:sz="4" w:val="single"/>
              <w:right w:color="000000" w:sz="4" w:val="single"/>
            </w:tcBorders>
            <w:vAlign w:val="top"/>
          </w:tcPr>
          <w:p w14:paraId="30020000">
            <w:pPr>
              <w:pStyle w:val="Style_3"/>
              <w:ind w:firstLine="0"/>
              <w:jc w:val="center"/>
            </w:pPr>
            <w:r>
              <w:t>8</w:t>
            </w:r>
          </w:p>
        </w:tc>
        <w:tc>
          <w:tcPr>
            <w:tcW w:type="dxa" w:w="1247"/>
            <w:tcBorders>
              <w:bottom w:color="000000" w:sz="4" w:val="single"/>
              <w:right w:color="000000" w:sz="4" w:val="single"/>
            </w:tcBorders>
            <w:vAlign w:val="top"/>
          </w:tcPr>
          <w:p w14:paraId="31020000">
            <w:pPr>
              <w:pStyle w:val="Style_3"/>
              <w:ind w:firstLine="0"/>
              <w:jc w:val="center"/>
            </w:pPr>
            <w:r>
              <w:t>9</w:t>
            </w:r>
            <w:r>
              <w:t> </w:t>
            </w:r>
            <w:r>
              <w:rPr>
                <w:color w:val="0000FF"/>
                <w:u w:val="single"/>
              </w:rPr>
              <w:fldChar w:fldCharType="begin"/>
            </w:r>
            <w:r>
              <w:rPr>
                <w:color w:val="0000FF"/>
                <w:u w:val="single"/>
              </w:rPr>
              <w:instrText>HYPERLINK \l "anchor4222"</w:instrText>
            </w:r>
            <w:r>
              <w:rPr>
                <w:color w:val="0000FF"/>
                <w:u w:val="single"/>
              </w:rPr>
              <w:fldChar w:fldCharType="separate"/>
            </w:r>
            <w:r>
              <w:rPr>
                <w:color w:val="0000FF"/>
                <w:u w:val="single"/>
              </w:rPr>
              <w:t>2</w:t>
            </w:r>
            <w:r>
              <w:rPr>
                <w:color w:val="0000FF"/>
                <w:u w:val="single"/>
              </w:rPr>
              <w:fldChar w:fldCharType="end"/>
            </w:r>
          </w:p>
        </w:tc>
        <w:tc>
          <w:tcPr>
            <w:tcW w:type="dxa" w:w="1247"/>
            <w:tcBorders>
              <w:bottom w:color="000000" w:sz="4" w:val="single"/>
              <w:right w:color="000000" w:sz="4" w:val="single"/>
            </w:tcBorders>
            <w:vAlign w:val="top"/>
          </w:tcPr>
          <w:p w14:paraId="32020000">
            <w:pPr>
              <w:pStyle w:val="Style_3"/>
              <w:ind w:firstLine="0"/>
              <w:jc w:val="center"/>
            </w:pPr>
            <w:r>
              <w:t>10</w:t>
            </w:r>
            <w:r>
              <w:t> </w:t>
            </w:r>
            <w:r>
              <w:rPr>
                <w:color w:val="0000FF"/>
                <w:u w:val="single"/>
              </w:rPr>
              <w:fldChar w:fldCharType="begin"/>
            </w:r>
            <w:r>
              <w:rPr>
                <w:color w:val="0000FF"/>
                <w:u w:val="single"/>
              </w:rPr>
              <w:instrText>HYPERLINK \l "anchor4333"</w:instrText>
            </w:r>
            <w:r>
              <w:rPr>
                <w:color w:val="0000FF"/>
                <w:u w:val="single"/>
              </w:rPr>
              <w:fldChar w:fldCharType="separate"/>
            </w:r>
            <w:r>
              <w:rPr>
                <w:color w:val="0000FF"/>
                <w:u w:val="single"/>
              </w:rPr>
              <w:t>3</w:t>
            </w:r>
            <w:r>
              <w:rPr>
                <w:color w:val="0000FF"/>
                <w:u w:val="single"/>
              </w:rPr>
              <w:fldChar w:fldCharType="end"/>
            </w:r>
          </w:p>
        </w:tc>
      </w:tr>
      <w:tr>
        <w:tc>
          <w:tcPr>
            <w:tcW w:type="dxa" w:w="567"/>
            <w:tcBorders>
              <w:left w:color="000000" w:sz="4" w:val="single"/>
              <w:bottom w:color="000000" w:sz="4" w:val="single"/>
              <w:right w:color="000000" w:sz="4" w:val="single"/>
            </w:tcBorders>
            <w:vAlign w:val="top"/>
          </w:tcPr>
          <w:p w14:paraId="33020000">
            <w:pPr>
              <w:pStyle w:val="Style_3"/>
              <w:ind w:firstLine="0"/>
              <w:jc w:val="center"/>
            </w:pPr>
            <w:r>
              <w:t>1</w:t>
            </w:r>
          </w:p>
        </w:tc>
        <w:tc>
          <w:tcPr>
            <w:tcW w:type="dxa" w:w="1247"/>
            <w:tcBorders>
              <w:bottom w:color="000000" w:sz="4" w:val="single"/>
              <w:right w:color="000000" w:sz="4" w:val="single"/>
            </w:tcBorders>
            <w:vAlign w:val="top"/>
          </w:tcPr>
          <w:p w14:paraId="34020000">
            <w:pPr>
              <w:pStyle w:val="Style_3"/>
            </w:pPr>
          </w:p>
        </w:tc>
        <w:tc>
          <w:tcPr>
            <w:tcW w:type="dxa" w:w="1814"/>
            <w:tcBorders>
              <w:bottom w:color="000000" w:sz="4" w:val="single"/>
              <w:right w:color="000000" w:sz="4" w:val="single"/>
            </w:tcBorders>
            <w:vAlign w:val="top"/>
          </w:tcPr>
          <w:p w14:paraId="35020000">
            <w:pPr>
              <w:pStyle w:val="Style_3"/>
            </w:pPr>
          </w:p>
        </w:tc>
        <w:tc>
          <w:tcPr>
            <w:tcW w:type="dxa" w:w="1417"/>
            <w:tcBorders>
              <w:bottom w:color="000000" w:sz="4" w:val="single"/>
              <w:right w:color="000000" w:sz="4" w:val="single"/>
            </w:tcBorders>
            <w:vAlign w:val="top"/>
          </w:tcPr>
          <w:p w14:paraId="36020000">
            <w:pPr>
              <w:pStyle w:val="Style_3"/>
            </w:pPr>
          </w:p>
        </w:tc>
        <w:tc>
          <w:tcPr>
            <w:tcW w:type="dxa" w:w="680"/>
            <w:tcBorders>
              <w:bottom w:color="000000" w:sz="4" w:val="single"/>
              <w:right w:color="000000" w:sz="4" w:val="single"/>
            </w:tcBorders>
            <w:vAlign w:val="top"/>
          </w:tcPr>
          <w:p w14:paraId="37020000">
            <w:pPr>
              <w:pStyle w:val="Style_3"/>
            </w:pPr>
          </w:p>
        </w:tc>
        <w:tc>
          <w:tcPr>
            <w:tcW w:type="dxa" w:w="850"/>
            <w:tcBorders>
              <w:bottom w:color="000000" w:sz="4" w:val="single"/>
              <w:right w:color="000000" w:sz="4" w:val="single"/>
            </w:tcBorders>
            <w:vAlign w:val="top"/>
          </w:tcPr>
          <w:p w14:paraId="38020000">
            <w:pPr>
              <w:pStyle w:val="Style_3"/>
            </w:pPr>
          </w:p>
        </w:tc>
        <w:tc>
          <w:tcPr>
            <w:tcW w:type="dxa" w:w="1417"/>
            <w:tcBorders>
              <w:bottom w:color="000000" w:sz="4" w:val="single"/>
              <w:right w:color="000000" w:sz="4" w:val="single"/>
            </w:tcBorders>
            <w:vAlign w:val="top"/>
          </w:tcPr>
          <w:p w14:paraId="39020000">
            <w:pPr>
              <w:pStyle w:val="Style_3"/>
            </w:pPr>
          </w:p>
        </w:tc>
        <w:tc>
          <w:tcPr>
            <w:tcW w:type="dxa" w:w="964"/>
            <w:tcBorders>
              <w:bottom w:color="000000" w:sz="4" w:val="single"/>
              <w:right w:color="000000" w:sz="4" w:val="single"/>
            </w:tcBorders>
            <w:vAlign w:val="top"/>
          </w:tcPr>
          <w:p w14:paraId="3A020000">
            <w:pPr>
              <w:pStyle w:val="Style_3"/>
            </w:pPr>
          </w:p>
        </w:tc>
        <w:tc>
          <w:tcPr>
            <w:tcW w:type="dxa" w:w="1247"/>
            <w:tcBorders>
              <w:bottom w:color="000000" w:sz="4" w:val="single"/>
              <w:right w:color="000000" w:sz="4" w:val="single"/>
            </w:tcBorders>
            <w:vAlign w:val="top"/>
          </w:tcPr>
          <w:p w14:paraId="3B020000">
            <w:pPr>
              <w:pStyle w:val="Style_3"/>
            </w:pPr>
          </w:p>
        </w:tc>
        <w:tc>
          <w:tcPr>
            <w:tcW w:type="dxa" w:w="1247"/>
            <w:tcBorders>
              <w:bottom w:color="000000" w:sz="4" w:val="single"/>
              <w:right w:color="000000" w:sz="4" w:val="single"/>
            </w:tcBorders>
            <w:vAlign w:val="top"/>
          </w:tcPr>
          <w:p w14:paraId="3C020000">
            <w:pPr>
              <w:pStyle w:val="Style_3"/>
            </w:pPr>
          </w:p>
        </w:tc>
      </w:tr>
      <w:tr>
        <w:tc>
          <w:tcPr>
            <w:tcW w:type="dxa" w:w="1814"/>
            <w:gridSpan w:val="2"/>
            <w:tcBorders>
              <w:left w:color="000000" w:sz="4" w:val="single"/>
              <w:bottom w:color="000000" w:sz="4" w:val="single"/>
              <w:right w:color="000000" w:sz="4" w:val="single"/>
            </w:tcBorders>
            <w:vAlign w:val="top"/>
          </w:tcPr>
          <w:p w14:paraId="3D020000">
            <w:pPr>
              <w:pStyle w:val="Style_3"/>
              <w:ind w:firstLine="0"/>
              <w:jc w:val="center"/>
            </w:pPr>
            <w:r>
              <w:t>ИТОГО</w:t>
            </w:r>
          </w:p>
        </w:tc>
        <w:tc>
          <w:tcPr>
            <w:tcW w:type="dxa" w:w="1814"/>
            <w:tcBorders>
              <w:bottom w:color="000000" w:sz="4" w:val="single"/>
              <w:right w:color="000000" w:sz="4" w:val="single"/>
            </w:tcBorders>
            <w:vAlign w:val="top"/>
          </w:tcPr>
          <w:p w14:paraId="3E020000">
            <w:pPr>
              <w:pStyle w:val="Style_3"/>
            </w:pPr>
          </w:p>
        </w:tc>
        <w:tc>
          <w:tcPr>
            <w:tcW w:type="dxa" w:w="1417"/>
            <w:tcBorders>
              <w:bottom w:color="000000" w:sz="4" w:val="single"/>
              <w:right w:color="000000" w:sz="4" w:val="single"/>
            </w:tcBorders>
            <w:vAlign w:val="top"/>
          </w:tcPr>
          <w:p w14:paraId="3F020000">
            <w:pPr>
              <w:pStyle w:val="Style_3"/>
              <w:ind w:firstLine="0"/>
              <w:jc w:val="center"/>
            </w:pPr>
            <w:r>
              <w:t>х</w:t>
            </w:r>
          </w:p>
        </w:tc>
        <w:tc>
          <w:tcPr>
            <w:tcW w:type="dxa" w:w="680"/>
            <w:tcBorders>
              <w:bottom w:color="000000" w:sz="4" w:val="single"/>
              <w:right w:color="000000" w:sz="4" w:val="single"/>
            </w:tcBorders>
            <w:vAlign w:val="top"/>
          </w:tcPr>
          <w:p w14:paraId="40020000">
            <w:pPr>
              <w:pStyle w:val="Style_3"/>
              <w:ind w:firstLine="0"/>
              <w:jc w:val="center"/>
            </w:pPr>
            <w:r>
              <w:t>х</w:t>
            </w:r>
          </w:p>
        </w:tc>
        <w:tc>
          <w:tcPr>
            <w:tcW w:type="dxa" w:w="850"/>
            <w:tcBorders>
              <w:bottom w:color="000000" w:sz="4" w:val="single"/>
              <w:right w:color="000000" w:sz="4" w:val="single"/>
            </w:tcBorders>
            <w:vAlign w:val="top"/>
          </w:tcPr>
          <w:p w14:paraId="41020000">
            <w:pPr>
              <w:pStyle w:val="Style_3"/>
            </w:pPr>
          </w:p>
        </w:tc>
        <w:tc>
          <w:tcPr>
            <w:tcW w:type="dxa" w:w="1417"/>
            <w:tcBorders>
              <w:bottom w:color="000000" w:sz="4" w:val="single"/>
              <w:right w:color="000000" w:sz="4" w:val="single"/>
            </w:tcBorders>
            <w:vAlign w:val="top"/>
          </w:tcPr>
          <w:p w14:paraId="42020000">
            <w:pPr>
              <w:pStyle w:val="Style_3"/>
              <w:ind w:firstLine="0"/>
              <w:jc w:val="center"/>
            </w:pPr>
            <w:r>
              <w:t>х</w:t>
            </w:r>
          </w:p>
        </w:tc>
        <w:tc>
          <w:tcPr>
            <w:tcW w:type="dxa" w:w="964"/>
            <w:tcBorders>
              <w:bottom w:color="000000" w:sz="4" w:val="single"/>
              <w:right w:color="000000" w:sz="4" w:val="single"/>
            </w:tcBorders>
            <w:vAlign w:val="top"/>
          </w:tcPr>
          <w:p w14:paraId="43020000">
            <w:pPr>
              <w:pStyle w:val="Style_3"/>
              <w:ind w:firstLine="0"/>
              <w:jc w:val="center"/>
            </w:pPr>
            <w:r>
              <w:t>х</w:t>
            </w:r>
          </w:p>
        </w:tc>
        <w:tc>
          <w:tcPr>
            <w:tcW w:type="dxa" w:w="1247"/>
            <w:tcBorders>
              <w:bottom w:color="000000" w:sz="4" w:val="single"/>
              <w:right w:color="000000" w:sz="4" w:val="single"/>
            </w:tcBorders>
            <w:vAlign w:val="top"/>
          </w:tcPr>
          <w:p w14:paraId="44020000">
            <w:pPr>
              <w:pStyle w:val="Style_3"/>
              <w:ind w:firstLine="0"/>
              <w:jc w:val="center"/>
            </w:pPr>
            <w:r>
              <w:t>х</w:t>
            </w:r>
          </w:p>
        </w:tc>
        <w:tc>
          <w:tcPr>
            <w:tcW w:type="dxa" w:w="1247"/>
            <w:tcBorders>
              <w:bottom w:color="000000" w:sz="4" w:val="single"/>
              <w:right w:color="000000" w:sz="4" w:val="single"/>
            </w:tcBorders>
            <w:vAlign w:val="top"/>
          </w:tcPr>
          <w:p w14:paraId="45020000">
            <w:pPr>
              <w:pStyle w:val="Style_3"/>
              <w:ind w:firstLine="0"/>
              <w:jc w:val="center"/>
            </w:pPr>
            <w:r>
              <w:t>х</w:t>
            </w:r>
          </w:p>
        </w:tc>
      </w:tr>
    </w:tbl>
    <w:p w14:paraId="46020000">
      <w:pPr>
        <w:pStyle w:val="Style_3"/>
      </w:pPr>
    </w:p>
    <w:p w14:paraId="47020000">
      <w:pPr>
        <w:pStyle w:val="Style_5"/>
        <w:rPr>
          <w:rFonts w:ascii="Courier New" w:hAnsi="Courier New"/>
          <w:sz w:val="22"/>
        </w:rPr>
      </w:pPr>
      <w:r>
        <w:rPr>
          <w:rFonts w:ascii="Courier New" w:hAnsi="Courier New"/>
          <w:sz w:val="22"/>
        </w:rPr>
        <w:t>Полноту и достоверность сведений подтверждаю:</w:t>
      </w:r>
    </w:p>
    <w:p w14:paraId="48020000">
      <w:pPr>
        <w:pStyle w:val="Style_3"/>
      </w:pPr>
    </w:p>
    <w:p w14:paraId="49020000">
      <w:pPr>
        <w:pStyle w:val="Style_5"/>
        <w:rPr>
          <w:rFonts w:ascii="Courier New" w:hAnsi="Courier New"/>
          <w:sz w:val="22"/>
        </w:rPr>
      </w:pPr>
      <w:r>
        <w:rPr>
          <w:rFonts w:ascii="Courier New" w:hAnsi="Courier New"/>
          <w:sz w:val="22"/>
        </w:rPr>
        <w:t>Лицо, осуществляющее</w:t>
      </w:r>
    </w:p>
    <w:p w14:paraId="4A020000">
      <w:pPr>
        <w:pStyle w:val="Style_5"/>
        <w:rPr>
          <w:rFonts w:ascii="Courier New" w:hAnsi="Courier New"/>
          <w:sz w:val="22"/>
        </w:rPr>
      </w:pPr>
      <w:r>
        <w:rPr>
          <w:rFonts w:ascii="Courier New" w:hAnsi="Courier New"/>
          <w:sz w:val="22"/>
        </w:rPr>
        <w:t>розничную торговлю          ______________      _________________________</w:t>
      </w:r>
    </w:p>
    <w:p w14:paraId="4B020000">
      <w:pPr>
        <w:pStyle w:val="Style_5"/>
        <w:rPr>
          <w:rFonts w:ascii="Courier New" w:hAnsi="Courier New"/>
          <w:sz w:val="22"/>
        </w:rPr>
      </w:pPr>
      <w:r>
        <w:rPr>
          <w:rFonts w:ascii="Courier New" w:hAnsi="Courier New"/>
          <w:sz w:val="22"/>
        </w:rPr>
        <w:t xml:space="preserve">                              (подпись)           (расшифровка подписи)</w:t>
      </w:r>
    </w:p>
    <w:p w14:paraId="4C020000">
      <w:pPr>
        <w:pStyle w:val="Style_5"/>
        <w:rPr>
          <w:rFonts w:ascii="Courier New" w:hAnsi="Courier New"/>
          <w:sz w:val="22"/>
        </w:rPr>
      </w:pPr>
      <w:r>
        <w:rPr>
          <w:rFonts w:ascii="Courier New" w:hAnsi="Courier New"/>
          <w:sz w:val="22"/>
        </w:rPr>
        <w:t>М.П.</w:t>
      </w:r>
    </w:p>
    <w:p w14:paraId="4D020000">
      <w:pPr>
        <w:pStyle w:val="Style_3"/>
      </w:pPr>
    </w:p>
    <w:p w14:paraId="4E020000">
      <w:pPr>
        <w:pStyle w:val="Style_5"/>
        <w:rPr>
          <w:rFonts w:ascii="Courier New" w:hAnsi="Courier New"/>
          <w:sz w:val="22"/>
        </w:rPr>
      </w:pPr>
      <w:r>
        <w:rPr>
          <w:rFonts w:ascii="Courier New" w:hAnsi="Courier New"/>
          <w:sz w:val="22"/>
        </w:rPr>
        <w:t>Достоверность сведений, указанных в графе 10, подтверждаю:</w:t>
      </w:r>
    </w:p>
    <w:p w14:paraId="4F020000">
      <w:pPr>
        <w:pStyle w:val="Style_3"/>
      </w:pPr>
    </w:p>
    <w:p w14:paraId="50020000">
      <w:pPr>
        <w:pStyle w:val="Style_5"/>
        <w:rPr>
          <w:rFonts w:ascii="Courier New" w:hAnsi="Courier New"/>
          <w:sz w:val="22"/>
        </w:rPr>
      </w:pPr>
      <w:r>
        <w:rPr>
          <w:rFonts w:ascii="Courier New" w:hAnsi="Courier New"/>
          <w:sz w:val="22"/>
        </w:rPr>
        <w:t>Ответственное лицо</w:t>
      </w:r>
    </w:p>
    <w:p w14:paraId="51020000">
      <w:pPr>
        <w:pStyle w:val="Style_5"/>
        <w:rPr>
          <w:rFonts w:ascii="Courier New" w:hAnsi="Courier New"/>
          <w:sz w:val="22"/>
        </w:rPr>
      </w:pPr>
      <w:r>
        <w:rPr>
          <w:rFonts w:ascii="Courier New" w:hAnsi="Courier New"/>
          <w:sz w:val="22"/>
        </w:rPr>
        <w:t>от администрации</w:t>
      </w:r>
    </w:p>
    <w:p w14:paraId="52020000">
      <w:pPr>
        <w:pStyle w:val="Style_5"/>
        <w:rPr>
          <w:rFonts w:ascii="Courier New" w:hAnsi="Courier New"/>
          <w:sz w:val="22"/>
        </w:rPr>
      </w:pPr>
      <w:r>
        <w:rPr>
          <w:rFonts w:ascii="Courier New" w:hAnsi="Courier New"/>
          <w:sz w:val="22"/>
        </w:rPr>
        <w:t>сельского поселения _____________________ _________ _____________________</w:t>
      </w:r>
    </w:p>
    <w:p w14:paraId="53020000">
      <w:pPr>
        <w:pStyle w:val="Style_5"/>
        <w:rPr>
          <w:rFonts w:ascii="Courier New" w:hAnsi="Courier New"/>
          <w:sz w:val="22"/>
        </w:rPr>
      </w:pPr>
      <w:r>
        <w:rPr>
          <w:rFonts w:ascii="Courier New" w:hAnsi="Courier New"/>
          <w:sz w:val="22"/>
        </w:rPr>
        <w:t xml:space="preserve">                   (занимаемая должность) (подпись) (расшифровка подписи)</w:t>
      </w:r>
    </w:p>
    <w:p w14:paraId="54020000">
      <w:pPr>
        <w:pStyle w:val="Style_5"/>
        <w:rPr>
          <w:rFonts w:ascii="Courier New" w:hAnsi="Courier New"/>
          <w:sz w:val="22"/>
        </w:rPr>
      </w:pPr>
      <w:r>
        <w:rPr>
          <w:rFonts w:ascii="Courier New" w:hAnsi="Courier New"/>
          <w:sz w:val="22"/>
        </w:rPr>
        <w:t>М.П.</w:t>
      </w:r>
    </w:p>
    <w:p w14:paraId="55020000">
      <w:pPr>
        <w:pStyle w:val="Style_3"/>
      </w:pPr>
    </w:p>
    <w:p w14:paraId="56020000">
      <w:pPr>
        <w:pStyle w:val="Style_5"/>
        <w:rPr>
          <w:rFonts w:ascii="Courier New" w:hAnsi="Courier New"/>
          <w:sz w:val="22"/>
        </w:rPr>
      </w:pPr>
      <w:r>
        <w:rPr>
          <w:rFonts w:ascii="Courier New" w:hAnsi="Courier New"/>
          <w:sz w:val="22"/>
        </w:rPr>
        <w:t>─────────────────────────────</w:t>
      </w:r>
    </w:p>
    <w:p w14:paraId="57020000">
      <w:pPr>
        <w:sectPr>
          <w:headerReference r:id="rId1" w:type="default"/>
          <w:footerReference r:id="rId2" w:type="default"/>
          <w:type w:val="nextPage"/>
          <w:pgSz w:h="11906" w:orient="landscape" w:w="16838"/>
          <w:pgMar w:bottom="794" w:footer="794" w:header="794" w:left="794" w:right="794" w:top="794"/>
          <w:pgNumType w:fmt="decimal"/>
        </w:sectPr>
      </w:pPr>
    </w:p>
    <w:p w14:paraId="58020000">
      <w:pPr>
        <w:pStyle w:val="Style_1"/>
      </w:pPr>
    </w:p>
    <w:p w14:paraId="59020000">
      <w:pPr>
        <w:pStyle w:val="Style_6"/>
      </w:pPr>
      <w:bookmarkStart w:id="132" w:name="anchor4111"/>
      <w:bookmarkEnd w:id="132"/>
      <w:r>
        <w:t>1</w:t>
      </w:r>
      <w:r>
        <w:t> Указываются продовольственные товары, на доставку которых предоставляется финансовая поддержка из окружного бюджета, в разрезе каждого наименования (товары, относящиеся к одной группе, закупленные по одной цене и в одинаковой расфасовке, показываются одной строкой).</w:t>
      </w:r>
    </w:p>
    <w:p w14:paraId="5A020000">
      <w:pPr>
        <w:pStyle w:val="Style_6"/>
      </w:pPr>
      <w:bookmarkStart w:id="133" w:name="anchor4222"/>
      <w:bookmarkEnd w:id="133"/>
      <w:r>
        <w:t>2</w:t>
      </w:r>
      <w:r>
        <w:t> Графы 1-9 заполняются заявителем.</w:t>
      </w:r>
    </w:p>
    <w:p w14:paraId="5B020000">
      <w:pPr>
        <w:pStyle w:val="Style_6"/>
      </w:pPr>
      <w:bookmarkStart w:id="134" w:name="anchor4333"/>
      <w:bookmarkEnd w:id="134"/>
      <w:r>
        <w:t>3</w:t>
      </w:r>
      <w:r>
        <w:t> Графа 10 заполняется ответственным лицом от администрации сельского поселения.</w:t>
      </w:r>
    </w:p>
    <w:p w14:paraId="5C020000">
      <w:pPr>
        <w:pStyle w:val="Style_5"/>
        <w:rPr>
          <w:rFonts w:ascii="Courier New" w:hAnsi="Courier New"/>
          <w:sz w:val="22"/>
        </w:rPr>
      </w:pPr>
      <w:r>
        <w:rPr>
          <w:rFonts w:ascii="Courier New" w:hAnsi="Courier New"/>
          <w:sz w:val="22"/>
        </w:rPr>
        <w:t>─────────────────────────────</w:t>
      </w:r>
    </w:p>
    <w:p w14:paraId="5D020000">
      <w:pPr>
        <w:pStyle w:val="Style_3"/>
      </w:pPr>
    </w:p>
    <w:p w14:paraId="5E020000">
      <w:bookmarkStart w:id="135" w:name="anchor5000"/>
      <w:bookmarkEnd w:id="135"/>
      <w:r>
        <w:t xml:space="preserve">Приложение 5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5F020000">
      <w:pPr>
        <w:pStyle w:val="Style_3"/>
      </w:pPr>
    </w:p>
    <w:p w14:paraId="60020000">
      <w:pPr>
        <w:pStyle w:val="Style_5"/>
        <w:rPr>
          <w:rFonts w:ascii="Courier New" w:hAnsi="Courier New"/>
          <w:sz w:val="22"/>
        </w:rPr>
      </w:pPr>
      <w:r>
        <w:rPr>
          <w:rFonts w:ascii="Courier New" w:hAnsi="Courier New"/>
          <w:b w:val="1"/>
          <w:color w:val="26282F"/>
          <w:sz w:val="22"/>
        </w:rPr>
        <w:t xml:space="preserve">           Расчет предоставления субсидии на возмещение затрат</w:t>
      </w:r>
    </w:p>
    <w:p w14:paraId="61020000">
      <w:pPr>
        <w:pStyle w:val="Style_5"/>
        <w:rPr>
          <w:rFonts w:ascii="Courier New" w:hAnsi="Courier New"/>
          <w:sz w:val="22"/>
        </w:rPr>
      </w:pPr>
      <w:r>
        <w:rPr>
          <w:rFonts w:ascii="Courier New" w:hAnsi="Courier New"/>
          <w:b w:val="1"/>
          <w:color w:val="26282F"/>
          <w:sz w:val="22"/>
        </w:rPr>
        <w:t xml:space="preserve">                         за __________ 20__ года</w:t>
      </w:r>
    </w:p>
    <w:p w14:paraId="62020000">
      <w:pPr>
        <w:pStyle w:val="Style_5"/>
        <w:rPr>
          <w:rFonts w:ascii="Courier New" w:hAnsi="Courier New"/>
          <w:sz w:val="22"/>
        </w:rPr>
      </w:pPr>
      <w:r>
        <w:rPr>
          <w:rFonts w:ascii="Courier New" w:hAnsi="Courier New"/>
          <w:sz w:val="22"/>
        </w:rPr>
        <w:t xml:space="preserve">          _____________________________________________________</w:t>
      </w:r>
    </w:p>
    <w:p w14:paraId="63020000">
      <w:pPr>
        <w:pStyle w:val="Style_5"/>
        <w:rPr>
          <w:rFonts w:ascii="Courier New" w:hAnsi="Courier New"/>
          <w:sz w:val="22"/>
        </w:rPr>
      </w:pPr>
      <w:r>
        <w:rPr>
          <w:rFonts w:ascii="Courier New" w:hAnsi="Courier New"/>
          <w:sz w:val="22"/>
        </w:rPr>
        <w:t xml:space="preserve">                         (наименование заявителя)</w:t>
      </w:r>
    </w:p>
    <w:p w14:paraId="64020000">
      <w:pPr>
        <w:pStyle w:val="Style_3"/>
      </w:pPr>
    </w:p>
    <w:p w14:paraId="65020000">
      <w:pPr>
        <w:sectPr>
          <w:headerReference r:id="rId5" w:type="default"/>
          <w:footerReference r:id="rId6" w:type="default"/>
          <w:type w:val="nextPage"/>
          <w:pgSz w:h="16838" w:orient="portrait" w:w="11906"/>
          <w:pgMar w:bottom="794" w:footer="794" w:header="794" w:left="794" w:right="794" w:top="794"/>
          <w:pgNumType w:fmt="decimal"/>
        </w:sectPr>
      </w:pPr>
    </w:p>
    <w:p w14:paraId="66020000">
      <w:pPr>
        <w:pStyle w:val="Style_1"/>
      </w:pPr>
    </w:p>
    <w:tbl>
      <w:tblPr>
        <w:tblW w:type="auto" w:w="0"/>
        <w:jc w:val="left"/>
        <w:tblLayout w:type="fixed"/>
      </w:tblPr>
      <w:tblGrid>
        <w:gridCol w:w="1125"/>
        <w:gridCol w:w="1125"/>
        <w:gridCol w:w="844"/>
        <w:gridCol w:w="1238"/>
        <w:gridCol w:w="844"/>
        <w:gridCol w:w="1407"/>
        <w:gridCol w:w="1125"/>
        <w:gridCol w:w="1688"/>
        <w:gridCol w:w="1125"/>
        <w:gridCol w:w="1688"/>
        <w:gridCol w:w="1125"/>
        <w:gridCol w:w="1519"/>
      </w:tblGrid>
      <w:tr>
        <w:tc>
          <w:tcPr>
            <w:tcW w:type="dxa" w:w="1125"/>
            <w:vMerge w:val="restart"/>
            <w:tcBorders>
              <w:top w:color="000000" w:sz="4" w:val="single"/>
              <w:left w:color="000000" w:sz="4" w:val="single"/>
              <w:bottom w:color="000000" w:sz="4" w:val="single"/>
              <w:right w:color="000000" w:sz="4" w:val="single"/>
            </w:tcBorders>
            <w:vAlign w:val="top"/>
          </w:tcPr>
          <w:p w14:paraId="67020000">
            <w:pPr>
              <w:pStyle w:val="Style_3"/>
              <w:ind w:firstLine="0"/>
              <w:jc w:val="center"/>
            </w:pPr>
            <w:r>
              <w:t>Контрагент (маршрут), вид услуг (работ)</w:t>
            </w:r>
          </w:p>
        </w:tc>
        <w:tc>
          <w:tcPr>
            <w:tcW w:type="dxa" w:w="5458"/>
            <w:gridSpan w:val="5"/>
            <w:tcBorders>
              <w:top w:color="000000" w:sz="4" w:val="single"/>
              <w:bottom w:color="000000" w:sz="4" w:val="single"/>
              <w:right w:color="000000" w:sz="4" w:val="single"/>
            </w:tcBorders>
            <w:vAlign w:val="top"/>
          </w:tcPr>
          <w:p w14:paraId="68020000">
            <w:pPr>
              <w:pStyle w:val="Style_3"/>
              <w:ind w:firstLine="0"/>
              <w:jc w:val="center"/>
            </w:pPr>
            <w:r>
              <w:t>Документ транспортной организации (документы, подтверждающие транспортные затраты)</w:t>
            </w:r>
          </w:p>
        </w:tc>
        <w:tc>
          <w:tcPr>
            <w:tcW w:type="dxa" w:w="1125"/>
            <w:vMerge w:val="restart"/>
            <w:tcBorders>
              <w:top w:color="000000" w:sz="4" w:val="single"/>
              <w:bottom w:color="000000" w:sz="4" w:val="single"/>
              <w:right w:color="000000" w:sz="4" w:val="single"/>
            </w:tcBorders>
            <w:vAlign w:val="top"/>
          </w:tcPr>
          <w:p w14:paraId="69020000">
            <w:pPr>
              <w:pStyle w:val="Style_3"/>
              <w:ind w:firstLine="0"/>
              <w:jc w:val="center"/>
            </w:pPr>
            <w:r>
              <w:t>Общий объем завозимой продукции, тонн</w:t>
            </w:r>
          </w:p>
        </w:tc>
        <w:tc>
          <w:tcPr>
            <w:tcW w:type="dxa" w:w="1688"/>
            <w:vMerge w:val="restart"/>
            <w:tcBorders>
              <w:top w:color="000000" w:sz="4" w:val="single"/>
              <w:bottom w:color="000000" w:sz="4" w:val="single"/>
              <w:right w:color="000000" w:sz="4" w:val="single"/>
            </w:tcBorders>
            <w:vAlign w:val="top"/>
          </w:tcPr>
          <w:p w14:paraId="6A020000">
            <w:pPr>
              <w:pStyle w:val="Style_3"/>
              <w:ind w:firstLine="0"/>
              <w:jc w:val="center"/>
            </w:pPr>
            <w:r>
              <w:t>Грузоподъемность транспортного средства, тонн</w:t>
            </w:r>
          </w:p>
        </w:tc>
        <w:tc>
          <w:tcPr>
            <w:tcW w:type="dxa" w:w="1125"/>
            <w:vMerge w:val="restart"/>
            <w:tcBorders>
              <w:top w:color="000000" w:sz="4" w:val="single"/>
              <w:bottom w:color="000000" w:sz="4" w:val="single"/>
              <w:right w:color="000000" w:sz="4" w:val="single"/>
            </w:tcBorders>
            <w:vAlign w:val="top"/>
          </w:tcPr>
          <w:p w14:paraId="6B020000">
            <w:pPr>
              <w:pStyle w:val="Style_3"/>
              <w:ind w:firstLine="0"/>
              <w:jc w:val="center"/>
            </w:pPr>
            <w:r>
              <w:t xml:space="preserve">Объем завозимой продукции согласно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Перечню</w:t>
            </w:r>
            <w:r>
              <w:rPr>
                <w:color w:val="0000FF"/>
                <w:u w:val="single"/>
              </w:rPr>
              <w:fldChar w:fldCharType="end"/>
            </w:r>
            <w:r>
              <w:t>, тонн</w:t>
            </w:r>
          </w:p>
        </w:tc>
        <w:tc>
          <w:tcPr>
            <w:tcW w:type="dxa" w:w="1688"/>
            <w:vMerge w:val="restart"/>
            <w:tcBorders>
              <w:top w:color="000000" w:sz="4" w:val="single"/>
              <w:bottom w:color="000000" w:sz="4" w:val="single"/>
              <w:right w:color="000000" w:sz="4" w:val="single"/>
            </w:tcBorders>
            <w:vAlign w:val="top"/>
          </w:tcPr>
          <w:p w14:paraId="6C020000">
            <w:pPr>
              <w:pStyle w:val="Style_3"/>
              <w:ind w:firstLine="0"/>
              <w:jc w:val="center"/>
            </w:pPr>
            <w:r>
              <w:t xml:space="preserve">Сумма затрат на доставку товаров, входящих в </w:t>
            </w:r>
            <w:r>
              <w:rPr>
                <w:color w:val="0000FF"/>
                <w:u w:val="single"/>
              </w:rPr>
              <w:fldChar w:fldCharType="begin"/>
            </w:r>
            <w:r>
              <w:rPr>
                <w:color w:val="0000FF"/>
                <w:u w:val="single"/>
              </w:rPr>
              <w:instrText>HYPERLINK \l "anchor1000"</w:instrText>
            </w:r>
            <w:r>
              <w:rPr>
                <w:color w:val="0000FF"/>
                <w:u w:val="single"/>
              </w:rPr>
              <w:fldChar w:fldCharType="separate"/>
            </w:r>
            <w:r>
              <w:rPr>
                <w:color w:val="0000FF"/>
                <w:u w:val="single"/>
              </w:rPr>
              <w:t>Перечень</w:t>
            </w:r>
            <w:r>
              <w:rPr>
                <w:color w:val="0000FF"/>
                <w:u w:val="single"/>
              </w:rPr>
              <w:fldChar w:fldCharType="end"/>
            </w:r>
            <w:r>
              <w:t>, руб.</w:t>
            </w:r>
          </w:p>
          <w:p w14:paraId="6D020000">
            <w:pPr>
              <w:pStyle w:val="Style_3"/>
              <w:ind w:firstLine="0"/>
              <w:jc w:val="center"/>
            </w:pPr>
            <w:r>
              <w:t>гр. 10 = гр. 5 / гр. 7 x гр. 9</w:t>
            </w:r>
            <w:r>
              <w:t> </w:t>
            </w:r>
            <w:r>
              <w:rPr>
                <w:color w:val="0000FF"/>
                <w:u w:val="single"/>
              </w:rPr>
              <w:fldChar w:fldCharType="begin"/>
            </w:r>
            <w:r>
              <w:rPr>
                <w:color w:val="0000FF"/>
                <w:u w:val="single"/>
              </w:rPr>
              <w:instrText>HYPERLINK \l "anchor5111"</w:instrText>
            </w:r>
            <w:r>
              <w:rPr>
                <w:color w:val="0000FF"/>
                <w:u w:val="single"/>
              </w:rPr>
              <w:fldChar w:fldCharType="separate"/>
            </w:r>
            <w:r>
              <w:rPr>
                <w:color w:val="0000FF"/>
                <w:u w:val="single"/>
              </w:rPr>
              <w:t>1</w:t>
            </w:r>
            <w:r>
              <w:rPr>
                <w:color w:val="0000FF"/>
                <w:u w:val="single"/>
              </w:rPr>
              <w:fldChar w:fldCharType="end"/>
            </w:r>
          </w:p>
        </w:tc>
        <w:tc>
          <w:tcPr>
            <w:tcW w:type="dxa" w:w="1125"/>
            <w:vMerge w:val="restart"/>
            <w:tcBorders>
              <w:top w:color="000000" w:sz="4" w:val="single"/>
              <w:bottom w:color="000000" w:sz="4" w:val="single"/>
              <w:right w:color="000000" w:sz="4" w:val="single"/>
            </w:tcBorders>
            <w:vAlign w:val="top"/>
          </w:tcPr>
          <w:p w14:paraId="6E020000">
            <w:pPr>
              <w:pStyle w:val="Style_3"/>
              <w:ind w:firstLine="0"/>
              <w:jc w:val="center"/>
            </w:pPr>
            <w:r>
              <w:t>Процент возмещения</w:t>
            </w:r>
          </w:p>
        </w:tc>
        <w:tc>
          <w:tcPr>
            <w:tcW w:type="dxa" w:w="1519"/>
            <w:vMerge w:val="restart"/>
            <w:tcBorders>
              <w:top w:color="000000" w:sz="4" w:val="single"/>
              <w:bottom w:color="000000" w:sz="4" w:val="single"/>
              <w:right w:color="000000" w:sz="4" w:val="single"/>
            </w:tcBorders>
            <w:vAlign w:val="top"/>
          </w:tcPr>
          <w:p w14:paraId="6F020000">
            <w:pPr>
              <w:pStyle w:val="Style_3"/>
              <w:ind w:firstLine="0"/>
              <w:jc w:val="center"/>
            </w:pPr>
            <w:r>
              <w:t>Сумма, подлежащая возмещению, руб.</w:t>
            </w:r>
          </w:p>
          <w:p w14:paraId="70020000">
            <w:pPr>
              <w:pStyle w:val="Style_3"/>
              <w:ind w:firstLine="0"/>
              <w:jc w:val="center"/>
            </w:pPr>
            <w:r>
              <w:t>гр. 12 = гр. 10 x гр. 11</w:t>
            </w:r>
          </w:p>
        </w:tc>
      </w:tr>
      <w:tr>
        <w:tc>
          <w:tcPr>
            <w:tcW w:type="dxa" w:w="1125"/>
            <w:gridSpan w:val="1"/>
            <w:vMerge w:val="continue"/>
            <w:tcBorders>
              <w:top w:color="000000" w:sz="4" w:val="single"/>
              <w:left w:color="000000" w:sz="4" w:val="single"/>
              <w:bottom w:color="000000" w:sz="4" w:val="single"/>
              <w:right w:color="000000" w:sz="4" w:val="single"/>
            </w:tcBorders>
            <w:vAlign w:val="top"/>
          </w:tcPr>
          <w:p/>
        </w:tc>
        <w:tc>
          <w:tcPr>
            <w:tcW w:type="dxa" w:w="1125"/>
            <w:tcBorders>
              <w:bottom w:color="000000" w:sz="4" w:val="single"/>
              <w:right w:color="000000" w:sz="4" w:val="single"/>
            </w:tcBorders>
            <w:vAlign w:val="top"/>
          </w:tcPr>
          <w:p w14:paraId="71020000">
            <w:pPr>
              <w:pStyle w:val="Style_3"/>
              <w:ind w:firstLine="0"/>
              <w:jc w:val="center"/>
            </w:pPr>
            <w:r>
              <w:t>счет-фактура (N, дата)</w:t>
            </w:r>
          </w:p>
        </w:tc>
        <w:tc>
          <w:tcPr>
            <w:tcW w:type="dxa" w:w="844"/>
            <w:tcBorders>
              <w:bottom w:color="000000" w:sz="4" w:val="single"/>
              <w:right w:color="000000" w:sz="4" w:val="single"/>
            </w:tcBorders>
            <w:vAlign w:val="top"/>
          </w:tcPr>
          <w:p w14:paraId="72020000">
            <w:pPr>
              <w:pStyle w:val="Style_3"/>
              <w:ind w:firstLine="0"/>
              <w:jc w:val="center"/>
            </w:pPr>
            <w:r>
              <w:t>акт выполненных работ</w:t>
            </w:r>
          </w:p>
          <w:p w14:paraId="73020000">
            <w:pPr>
              <w:pStyle w:val="Style_3"/>
              <w:ind w:firstLine="0"/>
              <w:jc w:val="center"/>
            </w:pPr>
            <w:r>
              <w:t>(N, дата)</w:t>
            </w:r>
          </w:p>
        </w:tc>
        <w:tc>
          <w:tcPr>
            <w:tcW w:type="dxa" w:w="1238"/>
            <w:tcBorders>
              <w:bottom w:color="000000" w:sz="4" w:val="single"/>
              <w:right w:color="000000" w:sz="4" w:val="single"/>
            </w:tcBorders>
            <w:vAlign w:val="top"/>
          </w:tcPr>
          <w:p w14:paraId="74020000">
            <w:pPr>
              <w:pStyle w:val="Style_3"/>
              <w:ind w:firstLine="0"/>
              <w:jc w:val="center"/>
            </w:pPr>
            <w:r>
              <w:t>Сумма, руб. коп.</w:t>
            </w:r>
          </w:p>
        </w:tc>
        <w:tc>
          <w:tcPr>
            <w:tcW w:type="dxa" w:w="844"/>
            <w:tcBorders>
              <w:bottom w:color="000000" w:sz="4" w:val="single"/>
              <w:right w:color="000000" w:sz="4" w:val="single"/>
            </w:tcBorders>
            <w:vAlign w:val="top"/>
          </w:tcPr>
          <w:p w14:paraId="75020000">
            <w:pPr>
              <w:pStyle w:val="Style_3"/>
              <w:ind w:firstLine="0"/>
              <w:jc w:val="center"/>
            </w:pPr>
            <w:r>
              <w:t>Оплачено получателем (N п/п, дата, сумма),</w:t>
            </w:r>
          </w:p>
          <w:p w14:paraId="76020000">
            <w:pPr>
              <w:pStyle w:val="Style_3"/>
              <w:ind w:firstLine="0"/>
              <w:jc w:val="center"/>
            </w:pPr>
            <w:r>
              <w:t>руб. коп.</w:t>
            </w:r>
          </w:p>
        </w:tc>
        <w:tc>
          <w:tcPr>
            <w:tcW w:type="dxa" w:w="1407"/>
          </w:tcPr>
          <w:p/>
        </w:tc>
        <w:tc>
          <w:tcPr>
            <w:tcW w:type="dxa" w:w="1125"/>
            <w:gridSpan w:val="1"/>
            <w:vMerge w:val="continue"/>
            <w:tcBorders>
              <w:top w:color="000000" w:sz="4" w:val="single"/>
              <w:bottom w:color="000000" w:sz="4" w:val="single"/>
              <w:right w:color="000000" w:sz="4" w:val="single"/>
            </w:tcBorders>
            <w:vAlign w:val="top"/>
          </w:tcPr>
          <w:p/>
        </w:tc>
        <w:tc>
          <w:tcPr>
            <w:tcW w:type="dxa" w:w="1688"/>
            <w:gridSpan w:val="1"/>
            <w:vMerge w:val="continue"/>
            <w:tcBorders>
              <w:top w:color="000000" w:sz="4" w:val="single"/>
              <w:bottom w:color="000000" w:sz="4" w:val="single"/>
              <w:right w:color="000000" w:sz="4" w:val="single"/>
            </w:tcBorders>
            <w:vAlign w:val="top"/>
          </w:tcPr>
          <w:p/>
        </w:tc>
        <w:tc>
          <w:tcPr>
            <w:tcW w:type="dxa" w:w="1125"/>
            <w:gridSpan w:val="1"/>
            <w:vMerge w:val="continue"/>
            <w:tcBorders>
              <w:top w:color="000000" w:sz="4" w:val="single"/>
              <w:bottom w:color="000000" w:sz="4" w:val="single"/>
              <w:right w:color="000000" w:sz="4" w:val="single"/>
            </w:tcBorders>
            <w:vAlign w:val="top"/>
          </w:tcPr>
          <w:p/>
        </w:tc>
        <w:tc>
          <w:tcPr>
            <w:tcW w:type="dxa" w:w="1688"/>
            <w:gridSpan w:val="1"/>
            <w:vMerge w:val="continue"/>
            <w:tcBorders>
              <w:top w:color="000000" w:sz="4" w:val="single"/>
              <w:bottom w:color="000000" w:sz="4" w:val="single"/>
              <w:right w:color="000000" w:sz="4" w:val="single"/>
            </w:tcBorders>
            <w:vAlign w:val="top"/>
          </w:tcPr>
          <w:p/>
        </w:tc>
        <w:tc>
          <w:tcPr>
            <w:tcW w:type="dxa" w:w="1125"/>
            <w:gridSpan w:val="1"/>
            <w:vMerge w:val="continue"/>
            <w:tcBorders>
              <w:top w:color="000000" w:sz="4" w:val="single"/>
              <w:bottom w:color="000000" w:sz="4" w:val="single"/>
              <w:right w:color="000000" w:sz="4" w:val="single"/>
            </w:tcBorders>
            <w:vAlign w:val="top"/>
          </w:tcPr>
          <w:p/>
        </w:tc>
        <w:tc>
          <w:tcPr>
            <w:tcW w:type="dxa" w:w="1519"/>
            <w:gridSpan w:val="1"/>
            <w:vMerge w:val="continue"/>
            <w:tcBorders>
              <w:top w:color="000000" w:sz="4" w:val="single"/>
              <w:bottom w:color="000000" w:sz="4" w:val="single"/>
              <w:right w:color="000000" w:sz="4" w:val="single"/>
            </w:tcBorders>
            <w:vAlign w:val="top"/>
          </w:tcPr>
          <w:p/>
        </w:tc>
      </w:tr>
      <w:tr>
        <w:tc>
          <w:tcPr>
            <w:tcW w:type="dxa" w:w="1125"/>
            <w:tcBorders>
              <w:left w:color="000000" w:sz="4" w:val="single"/>
              <w:bottom w:color="000000" w:sz="4" w:val="single"/>
              <w:right w:color="000000" w:sz="4" w:val="single"/>
            </w:tcBorders>
            <w:vAlign w:val="top"/>
          </w:tcPr>
          <w:p w14:paraId="77020000">
            <w:pPr>
              <w:pStyle w:val="Style_3"/>
              <w:ind w:firstLine="0"/>
              <w:jc w:val="center"/>
            </w:pPr>
            <w:r>
              <w:t>1</w:t>
            </w:r>
          </w:p>
        </w:tc>
        <w:tc>
          <w:tcPr>
            <w:tcW w:type="dxa" w:w="1125"/>
            <w:tcBorders>
              <w:bottom w:color="000000" w:sz="4" w:val="single"/>
              <w:right w:color="000000" w:sz="4" w:val="single"/>
            </w:tcBorders>
            <w:vAlign w:val="top"/>
          </w:tcPr>
          <w:p w14:paraId="78020000">
            <w:pPr>
              <w:pStyle w:val="Style_3"/>
              <w:ind w:firstLine="0"/>
              <w:jc w:val="center"/>
            </w:pPr>
            <w:r>
              <w:t>2</w:t>
            </w:r>
          </w:p>
        </w:tc>
        <w:tc>
          <w:tcPr>
            <w:tcW w:type="dxa" w:w="844"/>
            <w:tcBorders>
              <w:bottom w:color="000000" w:sz="4" w:val="single"/>
              <w:right w:color="000000" w:sz="4" w:val="single"/>
            </w:tcBorders>
            <w:vAlign w:val="top"/>
          </w:tcPr>
          <w:p w14:paraId="79020000">
            <w:pPr>
              <w:pStyle w:val="Style_3"/>
              <w:ind w:firstLine="0"/>
              <w:jc w:val="center"/>
            </w:pPr>
            <w:r>
              <w:t>3</w:t>
            </w:r>
          </w:p>
        </w:tc>
        <w:tc>
          <w:tcPr>
            <w:tcW w:type="dxa" w:w="1238"/>
            <w:tcBorders>
              <w:bottom w:color="000000" w:sz="4" w:val="single"/>
              <w:right w:color="000000" w:sz="4" w:val="single"/>
            </w:tcBorders>
            <w:vAlign w:val="top"/>
          </w:tcPr>
          <w:p w14:paraId="7A020000">
            <w:pPr>
              <w:pStyle w:val="Style_3"/>
              <w:ind w:firstLine="0"/>
              <w:jc w:val="center"/>
            </w:pPr>
            <w:r>
              <w:t>4</w:t>
            </w:r>
          </w:p>
        </w:tc>
        <w:tc>
          <w:tcPr>
            <w:tcW w:type="dxa" w:w="844"/>
            <w:tcBorders>
              <w:bottom w:color="000000" w:sz="4" w:val="single"/>
              <w:right w:color="000000" w:sz="4" w:val="single"/>
            </w:tcBorders>
            <w:vAlign w:val="top"/>
          </w:tcPr>
          <w:p w14:paraId="7B020000">
            <w:pPr>
              <w:pStyle w:val="Style_3"/>
              <w:ind w:firstLine="0"/>
              <w:jc w:val="center"/>
            </w:pPr>
            <w:r>
              <w:t>5</w:t>
            </w:r>
          </w:p>
        </w:tc>
        <w:tc>
          <w:tcPr>
            <w:tcW w:type="dxa" w:w="1407"/>
            <w:tcBorders>
              <w:bottom w:color="000000" w:sz="4" w:val="single"/>
              <w:right w:color="000000" w:sz="4" w:val="single"/>
            </w:tcBorders>
            <w:vAlign w:val="top"/>
          </w:tcPr>
          <w:p w14:paraId="7C020000">
            <w:pPr>
              <w:pStyle w:val="Style_3"/>
              <w:ind w:firstLine="0"/>
              <w:jc w:val="center"/>
            </w:pPr>
            <w:r>
              <w:t>6</w:t>
            </w:r>
          </w:p>
        </w:tc>
        <w:tc>
          <w:tcPr>
            <w:tcW w:type="dxa" w:w="1125"/>
            <w:tcBorders>
              <w:bottom w:color="000000" w:sz="4" w:val="single"/>
              <w:right w:color="000000" w:sz="4" w:val="single"/>
            </w:tcBorders>
            <w:vAlign w:val="top"/>
          </w:tcPr>
          <w:p w14:paraId="7D020000">
            <w:pPr>
              <w:pStyle w:val="Style_3"/>
              <w:ind w:firstLine="0"/>
              <w:jc w:val="center"/>
            </w:pPr>
            <w:r>
              <w:t>7</w:t>
            </w:r>
          </w:p>
        </w:tc>
        <w:tc>
          <w:tcPr>
            <w:tcW w:type="dxa" w:w="1688"/>
            <w:tcBorders>
              <w:bottom w:color="000000" w:sz="4" w:val="single"/>
              <w:right w:color="000000" w:sz="4" w:val="single"/>
            </w:tcBorders>
            <w:vAlign w:val="top"/>
          </w:tcPr>
          <w:p w14:paraId="7E020000">
            <w:pPr>
              <w:pStyle w:val="Style_3"/>
              <w:ind w:firstLine="0"/>
              <w:jc w:val="center"/>
            </w:pPr>
            <w:r>
              <w:t>8</w:t>
            </w:r>
          </w:p>
        </w:tc>
        <w:tc>
          <w:tcPr>
            <w:tcW w:type="dxa" w:w="1125"/>
            <w:tcBorders>
              <w:bottom w:color="000000" w:sz="4" w:val="single"/>
              <w:right w:color="000000" w:sz="4" w:val="single"/>
            </w:tcBorders>
            <w:vAlign w:val="top"/>
          </w:tcPr>
          <w:p w14:paraId="7F020000">
            <w:pPr>
              <w:pStyle w:val="Style_3"/>
              <w:ind w:firstLine="0"/>
              <w:jc w:val="center"/>
            </w:pPr>
            <w:r>
              <w:t>9</w:t>
            </w:r>
          </w:p>
        </w:tc>
        <w:tc>
          <w:tcPr>
            <w:tcW w:type="dxa" w:w="1688"/>
            <w:tcBorders>
              <w:bottom w:color="000000" w:sz="4" w:val="single"/>
              <w:right w:color="000000" w:sz="4" w:val="single"/>
            </w:tcBorders>
            <w:vAlign w:val="top"/>
          </w:tcPr>
          <w:p w14:paraId="80020000">
            <w:pPr>
              <w:pStyle w:val="Style_3"/>
              <w:ind w:firstLine="0"/>
              <w:jc w:val="center"/>
            </w:pPr>
            <w:r>
              <w:t>10</w:t>
            </w:r>
          </w:p>
        </w:tc>
        <w:tc>
          <w:tcPr>
            <w:tcW w:type="dxa" w:w="1125"/>
            <w:tcBorders>
              <w:bottom w:color="000000" w:sz="4" w:val="single"/>
              <w:right w:color="000000" w:sz="4" w:val="single"/>
            </w:tcBorders>
            <w:vAlign w:val="top"/>
          </w:tcPr>
          <w:p w14:paraId="81020000">
            <w:pPr>
              <w:pStyle w:val="Style_3"/>
              <w:ind w:firstLine="0"/>
              <w:jc w:val="center"/>
            </w:pPr>
            <w:r>
              <w:t>11</w:t>
            </w:r>
          </w:p>
        </w:tc>
        <w:tc>
          <w:tcPr>
            <w:tcW w:type="dxa" w:w="1519"/>
            <w:tcBorders>
              <w:bottom w:color="000000" w:sz="4" w:val="single"/>
              <w:right w:color="000000" w:sz="4" w:val="single"/>
            </w:tcBorders>
            <w:vAlign w:val="top"/>
          </w:tcPr>
          <w:p w14:paraId="82020000">
            <w:pPr>
              <w:pStyle w:val="Style_3"/>
              <w:ind w:firstLine="0"/>
              <w:jc w:val="center"/>
            </w:pPr>
            <w:r>
              <w:t>12</w:t>
            </w:r>
          </w:p>
        </w:tc>
      </w:tr>
      <w:tr>
        <w:tc>
          <w:tcPr>
            <w:tcW w:type="dxa" w:w="1125"/>
            <w:tcBorders>
              <w:left w:color="000000" w:sz="4" w:val="single"/>
              <w:bottom w:color="000000" w:sz="4" w:val="single"/>
              <w:right w:color="000000" w:sz="4" w:val="single"/>
            </w:tcBorders>
            <w:vAlign w:val="top"/>
          </w:tcPr>
          <w:p w14:paraId="83020000">
            <w:pPr>
              <w:pStyle w:val="Style_3"/>
            </w:pPr>
          </w:p>
        </w:tc>
        <w:tc>
          <w:tcPr>
            <w:tcW w:type="dxa" w:w="1125"/>
            <w:tcBorders>
              <w:bottom w:color="000000" w:sz="4" w:val="single"/>
              <w:right w:color="000000" w:sz="4" w:val="single"/>
            </w:tcBorders>
            <w:vAlign w:val="top"/>
          </w:tcPr>
          <w:p w14:paraId="84020000">
            <w:pPr>
              <w:pStyle w:val="Style_3"/>
            </w:pPr>
          </w:p>
        </w:tc>
        <w:tc>
          <w:tcPr>
            <w:tcW w:type="dxa" w:w="844"/>
            <w:tcBorders>
              <w:bottom w:color="000000" w:sz="4" w:val="single"/>
              <w:right w:color="000000" w:sz="4" w:val="single"/>
            </w:tcBorders>
            <w:vAlign w:val="top"/>
          </w:tcPr>
          <w:p w14:paraId="85020000">
            <w:pPr>
              <w:pStyle w:val="Style_3"/>
            </w:pPr>
          </w:p>
        </w:tc>
        <w:tc>
          <w:tcPr>
            <w:tcW w:type="dxa" w:w="1238"/>
            <w:tcBorders>
              <w:bottom w:color="000000" w:sz="4" w:val="single"/>
              <w:right w:color="000000" w:sz="4" w:val="single"/>
            </w:tcBorders>
            <w:vAlign w:val="top"/>
          </w:tcPr>
          <w:p w14:paraId="86020000">
            <w:pPr>
              <w:pStyle w:val="Style_3"/>
            </w:pPr>
          </w:p>
        </w:tc>
        <w:tc>
          <w:tcPr>
            <w:tcW w:type="dxa" w:w="844"/>
            <w:tcBorders>
              <w:bottom w:color="000000" w:sz="4" w:val="single"/>
              <w:right w:color="000000" w:sz="4" w:val="single"/>
            </w:tcBorders>
            <w:vAlign w:val="top"/>
          </w:tcPr>
          <w:p w14:paraId="87020000">
            <w:pPr>
              <w:pStyle w:val="Style_3"/>
            </w:pPr>
          </w:p>
        </w:tc>
        <w:tc>
          <w:tcPr>
            <w:tcW w:type="dxa" w:w="1407"/>
            <w:tcBorders>
              <w:bottom w:color="000000" w:sz="4" w:val="single"/>
              <w:right w:color="000000" w:sz="4" w:val="single"/>
            </w:tcBorders>
            <w:vAlign w:val="top"/>
          </w:tcPr>
          <w:p w14:paraId="88020000">
            <w:pPr>
              <w:pStyle w:val="Style_3"/>
            </w:pPr>
          </w:p>
        </w:tc>
        <w:tc>
          <w:tcPr>
            <w:tcW w:type="dxa" w:w="1125"/>
            <w:tcBorders>
              <w:bottom w:color="000000" w:sz="4" w:val="single"/>
              <w:right w:color="000000" w:sz="4" w:val="single"/>
            </w:tcBorders>
            <w:vAlign w:val="top"/>
          </w:tcPr>
          <w:p w14:paraId="89020000">
            <w:pPr>
              <w:pStyle w:val="Style_3"/>
            </w:pPr>
          </w:p>
        </w:tc>
        <w:tc>
          <w:tcPr>
            <w:tcW w:type="dxa" w:w="1688"/>
            <w:tcBorders>
              <w:bottom w:color="000000" w:sz="4" w:val="single"/>
              <w:right w:color="000000" w:sz="4" w:val="single"/>
            </w:tcBorders>
            <w:vAlign w:val="top"/>
          </w:tcPr>
          <w:p w14:paraId="8A020000">
            <w:pPr>
              <w:pStyle w:val="Style_3"/>
            </w:pPr>
          </w:p>
        </w:tc>
        <w:tc>
          <w:tcPr>
            <w:tcW w:type="dxa" w:w="1125"/>
            <w:tcBorders>
              <w:bottom w:color="000000" w:sz="4" w:val="single"/>
              <w:right w:color="000000" w:sz="4" w:val="single"/>
            </w:tcBorders>
            <w:vAlign w:val="top"/>
          </w:tcPr>
          <w:p w14:paraId="8B020000">
            <w:pPr>
              <w:pStyle w:val="Style_3"/>
            </w:pPr>
          </w:p>
        </w:tc>
        <w:tc>
          <w:tcPr>
            <w:tcW w:type="dxa" w:w="1688"/>
            <w:tcBorders>
              <w:bottom w:color="000000" w:sz="4" w:val="single"/>
              <w:right w:color="000000" w:sz="4" w:val="single"/>
            </w:tcBorders>
            <w:vAlign w:val="top"/>
          </w:tcPr>
          <w:p w14:paraId="8C020000">
            <w:pPr>
              <w:pStyle w:val="Style_3"/>
            </w:pPr>
          </w:p>
        </w:tc>
        <w:tc>
          <w:tcPr>
            <w:tcW w:type="dxa" w:w="1125"/>
            <w:tcBorders>
              <w:bottom w:color="000000" w:sz="4" w:val="single"/>
              <w:right w:color="000000" w:sz="4" w:val="single"/>
            </w:tcBorders>
            <w:vAlign w:val="top"/>
          </w:tcPr>
          <w:p w14:paraId="8D020000">
            <w:pPr>
              <w:pStyle w:val="Style_3"/>
            </w:pPr>
          </w:p>
        </w:tc>
        <w:tc>
          <w:tcPr>
            <w:tcW w:type="dxa" w:w="1519"/>
            <w:tcBorders>
              <w:bottom w:color="000000" w:sz="4" w:val="single"/>
              <w:right w:color="000000" w:sz="4" w:val="single"/>
            </w:tcBorders>
            <w:vAlign w:val="top"/>
          </w:tcPr>
          <w:p w14:paraId="8E020000">
            <w:pPr>
              <w:pStyle w:val="Style_3"/>
            </w:pPr>
          </w:p>
        </w:tc>
      </w:tr>
      <w:tr>
        <w:tc>
          <w:tcPr>
            <w:tcW w:type="dxa" w:w="1125"/>
            <w:tcBorders>
              <w:left w:color="000000" w:sz="4" w:val="single"/>
              <w:bottom w:color="000000" w:sz="4" w:val="single"/>
              <w:right w:color="000000" w:sz="4" w:val="single"/>
            </w:tcBorders>
            <w:vAlign w:val="top"/>
          </w:tcPr>
          <w:p w14:paraId="8F020000">
            <w:pPr>
              <w:pStyle w:val="Style_3"/>
            </w:pPr>
          </w:p>
        </w:tc>
        <w:tc>
          <w:tcPr>
            <w:tcW w:type="dxa" w:w="1125"/>
            <w:tcBorders>
              <w:bottom w:color="000000" w:sz="4" w:val="single"/>
              <w:right w:color="000000" w:sz="4" w:val="single"/>
            </w:tcBorders>
            <w:vAlign w:val="top"/>
          </w:tcPr>
          <w:p w14:paraId="90020000">
            <w:pPr>
              <w:pStyle w:val="Style_3"/>
            </w:pPr>
          </w:p>
        </w:tc>
        <w:tc>
          <w:tcPr>
            <w:tcW w:type="dxa" w:w="844"/>
            <w:tcBorders>
              <w:bottom w:color="000000" w:sz="4" w:val="single"/>
              <w:right w:color="000000" w:sz="4" w:val="single"/>
            </w:tcBorders>
            <w:vAlign w:val="top"/>
          </w:tcPr>
          <w:p w14:paraId="91020000">
            <w:pPr>
              <w:pStyle w:val="Style_3"/>
            </w:pPr>
          </w:p>
        </w:tc>
        <w:tc>
          <w:tcPr>
            <w:tcW w:type="dxa" w:w="1238"/>
            <w:tcBorders>
              <w:bottom w:color="000000" w:sz="4" w:val="single"/>
              <w:right w:color="000000" w:sz="4" w:val="single"/>
            </w:tcBorders>
            <w:vAlign w:val="top"/>
          </w:tcPr>
          <w:p w14:paraId="92020000">
            <w:pPr>
              <w:pStyle w:val="Style_3"/>
            </w:pPr>
          </w:p>
        </w:tc>
        <w:tc>
          <w:tcPr>
            <w:tcW w:type="dxa" w:w="844"/>
            <w:tcBorders>
              <w:bottom w:color="000000" w:sz="4" w:val="single"/>
              <w:right w:color="000000" w:sz="4" w:val="single"/>
            </w:tcBorders>
            <w:vAlign w:val="top"/>
          </w:tcPr>
          <w:p w14:paraId="93020000">
            <w:pPr>
              <w:pStyle w:val="Style_3"/>
            </w:pPr>
          </w:p>
        </w:tc>
        <w:tc>
          <w:tcPr>
            <w:tcW w:type="dxa" w:w="1407"/>
            <w:tcBorders>
              <w:bottom w:color="000000" w:sz="4" w:val="single"/>
              <w:right w:color="000000" w:sz="4" w:val="single"/>
            </w:tcBorders>
            <w:vAlign w:val="top"/>
          </w:tcPr>
          <w:p w14:paraId="94020000">
            <w:pPr>
              <w:pStyle w:val="Style_3"/>
            </w:pPr>
          </w:p>
        </w:tc>
        <w:tc>
          <w:tcPr>
            <w:tcW w:type="dxa" w:w="1125"/>
            <w:tcBorders>
              <w:bottom w:color="000000" w:sz="4" w:val="single"/>
              <w:right w:color="000000" w:sz="4" w:val="single"/>
            </w:tcBorders>
            <w:vAlign w:val="top"/>
          </w:tcPr>
          <w:p w14:paraId="95020000">
            <w:pPr>
              <w:pStyle w:val="Style_3"/>
            </w:pPr>
          </w:p>
        </w:tc>
        <w:tc>
          <w:tcPr>
            <w:tcW w:type="dxa" w:w="1688"/>
            <w:tcBorders>
              <w:bottom w:color="000000" w:sz="4" w:val="single"/>
              <w:right w:color="000000" w:sz="4" w:val="single"/>
            </w:tcBorders>
            <w:vAlign w:val="top"/>
          </w:tcPr>
          <w:p w14:paraId="96020000">
            <w:pPr>
              <w:pStyle w:val="Style_3"/>
            </w:pPr>
          </w:p>
        </w:tc>
        <w:tc>
          <w:tcPr>
            <w:tcW w:type="dxa" w:w="1125"/>
            <w:tcBorders>
              <w:bottom w:color="000000" w:sz="4" w:val="single"/>
              <w:right w:color="000000" w:sz="4" w:val="single"/>
            </w:tcBorders>
            <w:vAlign w:val="top"/>
          </w:tcPr>
          <w:p w14:paraId="97020000">
            <w:pPr>
              <w:pStyle w:val="Style_3"/>
            </w:pPr>
          </w:p>
        </w:tc>
        <w:tc>
          <w:tcPr>
            <w:tcW w:type="dxa" w:w="1688"/>
            <w:tcBorders>
              <w:bottom w:color="000000" w:sz="4" w:val="single"/>
              <w:right w:color="000000" w:sz="4" w:val="single"/>
            </w:tcBorders>
            <w:vAlign w:val="top"/>
          </w:tcPr>
          <w:p w14:paraId="98020000">
            <w:pPr>
              <w:pStyle w:val="Style_3"/>
            </w:pPr>
          </w:p>
        </w:tc>
        <w:tc>
          <w:tcPr>
            <w:tcW w:type="dxa" w:w="1125"/>
            <w:tcBorders>
              <w:bottom w:color="000000" w:sz="4" w:val="single"/>
              <w:right w:color="000000" w:sz="4" w:val="single"/>
            </w:tcBorders>
            <w:vAlign w:val="top"/>
          </w:tcPr>
          <w:p w14:paraId="99020000">
            <w:pPr>
              <w:pStyle w:val="Style_3"/>
            </w:pPr>
          </w:p>
        </w:tc>
        <w:tc>
          <w:tcPr>
            <w:tcW w:type="dxa" w:w="1519"/>
            <w:tcBorders>
              <w:bottom w:color="000000" w:sz="4" w:val="single"/>
              <w:right w:color="000000" w:sz="4" w:val="single"/>
            </w:tcBorders>
            <w:vAlign w:val="top"/>
          </w:tcPr>
          <w:p w14:paraId="9A020000">
            <w:pPr>
              <w:pStyle w:val="Style_3"/>
            </w:pPr>
          </w:p>
        </w:tc>
      </w:tr>
      <w:tr>
        <w:tc>
          <w:tcPr>
            <w:tcW w:type="dxa" w:w="1125"/>
            <w:tcBorders>
              <w:left w:color="000000" w:sz="4" w:val="single"/>
              <w:bottom w:color="000000" w:sz="4" w:val="single"/>
              <w:right w:color="000000" w:sz="4" w:val="single"/>
            </w:tcBorders>
            <w:vAlign w:val="top"/>
          </w:tcPr>
          <w:p w14:paraId="9B020000">
            <w:pPr>
              <w:pStyle w:val="Style_3"/>
            </w:pPr>
          </w:p>
        </w:tc>
        <w:tc>
          <w:tcPr>
            <w:tcW w:type="dxa" w:w="1125"/>
            <w:tcBorders>
              <w:bottom w:color="000000" w:sz="4" w:val="single"/>
              <w:right w:color="000000" w:sz="4" w:val="single"/>
            </w:tcBorders>
            <w:vAlign w:val="top"/>
          </w:tcPr>
          <w:p w14:paraId="9C020000">
            <w:pPr>
              <w:pStyle w:val="Style_3"/>
            </w:pPr>
          </w:p>
        </w:tc>
        <w:tc>
          <w:tcPr>
            <w:tcW w:type="dxa" w:w="844"/>
            <w:tcBorders>
              <w:bottom w:color="000000" w:sz="4" w:val="single"/>
              <w:right w:color="000000" w:sz="4" w:val="single"/>
            </w:tcBorders>
            <w:vAlign w:val="top"/>
          </w:tcPr>
          <w:p w14:paraId="9D020000">
            <w:pPr>
              <w:pStyle w:val="Style_3"/>
            </w:pPr>
          </w:p>
        </w:tc>
        <w:tc>
          <w:tcPr>
            <w:tcW w:type="dxa" w:w="1238"/>
            <w:tcBorders>
              <w:bottom w:color="000000" w:sz="4" w:val="single"/>
              <w:right w:color="000000" w:sz="4" w:val="single"/>
            </w:tcBorders>
            <w:vAlign w:val="top"/>
          </w:tcPr>
          <w:p w14:paraId="9E020000">
            <w:pPr>
              <w:pStyle w:val="Style_3"/>
            </w:pPr>
          </w:p>
        </w:tc>
        <w:tc>
          <w:tcPr>
            <w:tcW w:type="dxa" w:w="844"/>
            <w:tcBorders>
              <w:bottom w:color="000000" w:sz="4" w:val="single"/>
              <w:right w:color="000000" w:sz="4" w:val="single"/>
            </w:tcBorders>
            <w:vAlign w:val="top"/>
          </w:tcPr>
          <w:p w14:paraId="9F020000">
            <w:pPr>
              <w:pStyle w:val="Style_3"/>
            </w:pPr>
          </w:p>
        </w:tc>
        <w:tc>
          <w:tcPr>
            <w:tcW w:type="dxa" w:w="1407"/>
            <w:tcBorders>
              <w:bottom w:color="000000" w:sz="4" w:val="single"/>
              <w:right w:color="000000" w:sz="4" w:val="single"/>
            </w:tcBorders>
            <w:vAlign w:val="top"/>
          </w:tcPr>
          <w:p w14:paraId="A0020000">
            <w:pPr>
              <w:pStyle w:val="Style_3"/>
            </w:pPr>
          </w:p>
        </w:tc>
        <w:tc>
          <w:tcPr>
            <w:tcW w:type="dxa" w:w="1125"/>
            <w:tcBorders>
              <w:bottom w:color="000000" w:sz="4" w:val="single"/>
              <w:right w:color="000000" w:sz="4" w:val="single"/>
            </w:tcBorders>
            <w:vAlign w:val="top"/>
          </w:tcPr>
          <w:p w14:paraId="A1020000">
            <w:pPr>
              <w:pStyle w:val="Style_3"/>
            </w:pPr>
          </w:p>
        </w:tc>
        <w:tc>
          <w:tcPr>
            <w:tcW w:type="dxa" w:w="1688"/>
            <w:tcBorders>
              <w:bottom w:color="000000" w:sz="4" w:val="single"/>
              <w:right w:color="000000" w:sz="4" w:val="single"/>
            </w:tcBorders>
            <w:vAlign w:val="top"/>
          </w:tcPr>
          <w:p w14:paraId="A2020000">
            <w:pPr>
              <w:pStyle w:val="Style_3"/>
            </w:pPr>
          </w:p>
        </w:tc>
        <w:tc>
          <w:tcPr>
            <w:tcW w:type="dxa" w:w="1125"/>
            <w:tcBorders>
              <w:bottom w:color="000000" w:sz="4" w:val="single"/>
              <w:right w:color="000000" w:sz="4" w:val="single"/>
            </w:tcBorders>
            <w:vAlign w:val="top"/>
          </w:tcPr>
          <w:p w14:paraId="A3020000">
            <w:pPr>
              <w:pStyle w:val="Style_3"/>
            </w:pPr>
          </w:p>
        </w:tc>
        <w:tc>
          <w:tcPr>
            <w:tcW w:type="dxa" w:w="1688"/>
            <w:tcBorders>
              <w:bottom w:color="000000" w:sz="4" w:val="single"/>
              <w:right w:color="000000" w:sz="4" w:val="single"/>
            </w:tcBorders>
            <w:vAlign w:val="top"/>
          </w:tcPr>
          <w:p w14:paraId="A4020000">
            <w:pPr>
              <w:pStyle w:val="Style_3"/>
            </w:pPr>
          </w:p>
        </w:tc>
        <w:tc>
          <w:tcPr>
            <w:tcW w:type="dxa" w:w="1125"/>
            <w:tcBorders>
              <w:bottom w:color="000000" w:sz="4" w:val="single"/>
              <w:right w:color="000000" w:sz="4" w:val="single"/>
            </w:tcBorders>
            <w:vAlign w:val="top"/>
          </w:tcPr>
          <w:p w14:paraId="A5020000">
            <w:pPr>
              <w:pStyle w:val="Style_3"/>
            </w:pPr>
          </w:p>
        </w:tc>
        <w:tc>
          <w:tcPr>
            <w:tcW w:type="dxa" w:w="1519"/>
            <w:tcBorders>
              <w:bottom w:color="000000" w:sz="4" w:val="single"/>
              <w:right w:color="000000" w:sz="4" w:val="single"/>
            </w:tcBorders>
            <w:vAlign w:val="top"/>
          </w:tcPr>
          <w:p w14:paraId="A6020000">
            <w:pPr>
              <w:pStyle w:val="Style_3"/>
            </w:pPr>
          </w:p>
        </w:tc>
      </w:tr>
    </w:tbl>
    <w:p w14:paraId="A7020000">
      <w:pPr>
        <w:pStyle w:val="Style_3"/>
      </w:pPr>
    </w:p>
    <w:p w14:paraId="A8020000">
      <w:pPr>
        <w:pStyle w:val="Style_5"/>
        <w:rPr>
          <w:rFonts w:ascii="Courier New" w:hAnsi="Courier New"/>
          <w:sz w:val="22"/>
        </w:rPr>
      </w:pPr>
      <w:r>
        <w:rPr>
          <w:rFonts w:ascii="Courier New" w:hAnsi="Courier New"/>
          <w:sz w:val="22"/>
        </w:rPr>
        <w:t>Руководитель юридического лица/</w:t>
      </w:r>
    </w:p>
    <w:p w14:paraId="A9020000">
      <w:pPr>
        <w:pStyle w:val="Style_5"/>
        <w:rPr>
          <w:rFonts w:ascii="Courier New" w:hAnsi="Courier New"/>
          <w:sz w:val="22"/>
        </w:rPr>
      </w:pPr>
      <w:r>
        <w:rPr>
          <w:rFonts w:ascii="Courier New" w:hAnsi="Courier New"/>
          <w:sz w:val="22"/>
        </w:rPr>
        <w:t>индивидуальный предприниматель/</w:t>
      </w:r>
    </w:p>
    <w:p w14:paraId="AA020000">
      <w:pPr>
        <w:pStyle w:val="Style_5"/>
        <w:rPr>
          <w:rFonts w:ascii="Courier New" w:hAnsi="Courier New"/>
          <w:sz w:val="22"/>
        </w:rPr>
      </w:pPr>
      <w:r>
        <w:rPr>
          <w:rFonts w:ascii="Courier New" w:hAnsi="Courier New"/>
          <w:sz w:val="22"/>
        </w:rPr>
        <w:t>представитель по доверенности _____________  ____________________________</w:t>
      </w:r>
    </w:p>
    <w:p w14:paraId="AB020000">
      <w:pPr>
        <w:pStyle w:val="Style_5"/>
        <w:rPr>
          <w:rFonts w:ascii="Courier New" w:hAnsi="Courier New"/>
          <w:sz w:val="22"/>
        </w:rPr>
      </w:pPr>
      <w:r>
        <w:rPr>
          <w:rFonts w:ascii="Courier New" w:hAnsi="Courier New"/>
          <w:sz w:val="22"/>
        </w:rPr>
        <w:t xml:space="preserve">                                (подпись)       (расшифровка подписи)</w:t>
      </w:r>
    </w:p>
    <w:p w14:paraId="AC020000">
      <w:pPr>
        <w:pStyle w:val="Style_3"/>
      </w:pPr>
    </w:p>
    <w:p w14:paraId="AD020000">
      <w:pPr>
        <w:pStyle w:val="Style_5"/>
        <w:rPr>
          <w:rFonts w:ascii="Courier New" w:hAnsi="Courier New"/>
          <w:sz w:val="22"/>
        </w:rPr>
      </w:pPr>
      <w:r>
        <w:rPr>
          <w:rFonts w:ascii="Courier New" w:hAnsi="Courier New"/>
          <w:sz w:val="22"/>
        </w:rPr>
        <w:t>М.П.</w:t>
      </w:r>
    </w:p>
    <w:p w14:paraId="AE020000">
      <w:pPr>
        <w:pStyle w:val="Style_3"/>
      </w:pPr>
    </w:p>
    <w:p w14:paraId="AF020000">
      <w:pPr>
        <w:pStyle w:val="Style_5"/>
        <w:rPr>
          <w:rFonts w:ascii="Courier New" w:hAnsi="Courier New"/>
          <w:sz w:val="22"/>
        </w:rPr>
      </w:pPr>
      <w:r>
        <w:rPr>
          <w:rFonts w:ascii="Courier New" w:hAnsi="Courier New"/>
          <w:sz w:val="22"/>
        </w:rPr>
        <w:t>Главный бухгалтер             _____________  ____________________________</w:t>
      </w:r>
    </w:p>
    <w:p w14:paraId="B0020000">
      <w:pPr>
        <w:pStyle w:val="Style_5"/>
        <w:rPr>
          <w:rFonts w:ascii="Courier New" w:hAnsi="Courier New"/>
          <w:sz w:val="22"/>
        </w:rPr>
      </w:pPr>
      <w:r>
        <w:rPr>
          <w:rFonts w:ascii="Courier New" w:hAnsi="Courier New"/>
          <w:sz w:val="22"/>
        </w:rPr>
        <w:t xml:space="preserve">                                (подпись)       (расшифровка подписи)</w:t>
      </w:r>
    </w:p>
    <w:p w14:paraId="B1020000">
      <w:pPr>
        <w:pStyle w:val="Style_3"/>
      </w:pPr>
    </w:p>
    <w:p w14:paraId="B2020000">
      <w:pPr>
        <w:pStyle w:val="Style_5"/>
        <w:rPr>
          <w:rFonts w:ascii="Courier New" w:hAnsi="Courier New"/>
          <w:sz w:val="22"/>
        </w:rPr>
      </w:pPr>
      <w:r>
        <w:rPr>
          <w:rFonts w:ascii="Courier New" w:hAnsi="Courier New"/>
          <w:sz w:val="22"/>
        </w:rPr>
        <w:t>"___" _________ 20__ г.</w:t>
      </w:r>
    </w:p>
    <w:p w14:paraId="B3020000">
      <w:pPr>
        <w:pStyle w:val="Style_3"/>
      </w:pPr>
    </w:p>
    <w:p w14:paraId="B4020000">
      <w:pPr>
        <w:pStyle w:val="Style_5"/>
        <w:rPr>
          <w:rFonts w:ascii="Courier New" w:hAnsi="Courier New"/>
          <w:sz w:val="22"/>
        </w:rPr>
      </w:pPr>
      <w:r>
        <w:rPr>
          <w:rFonts w:ascii="Courier New" w:hAnsi="Courier New"/>
          <w:sz w:val="22"/>
        </w:rPr>
        <w:t>─────────────────────────────</w:t>
      </w:r>
    </w:p>
    <w:p w14:paraId="B5020000">
      <w:pPr>
        <w:sectPr>
          <w:headerReference r:id="rId3" w:type="default"/>
          <w:footerReference r:id="rId4" w:type="default"/>
          <w:type w:val="nextPage"/>
          <w:pgSz w:h="11906" w:orient="landscape" w:w="16838"/>
          <w:pgMar w:bottom="794" w:footer="794" w:header="794" w:left="794" w:right="794" w:top="794"/>
          <w:pgNumType w:fmt="decimal"/>
        </w:sectPr>
      </w:pPr>
    </w:p>
    <w:p w14:paraId="B6020000">
      <w:pPr>
        <w:pStyle w:val="Style_1"/>
      </w:pPr>
    </w:p>
    <w:p w14:paraId="B7020000">
      <w:pPr>
        <w:pStyle w:val="Style_6"/>
      </w:pPr>
      <w:bookmarkStart w:id="136" w:name="anchor5111"/>
      <w:bookmarkEnd w:id="136"/>
      <w:r>
        <w:t>1</w:t>
      </w:r>
      <w:r>
        <w:t> В случае, если по договору на оказание услуг (работ) по доставке товаров оплата производится за рейс, то в графе 10 применяется формула гр. 10 = гр. 5 / гр. 8 х гр. 9.</w:t>
      </w:r>
    </w:p>
    <w:p w14:paraId="B8020000">
      <w:pPr>
        <w:pStyle w:val="Style_5"/>
        <w:rPr>
          <w:rFonts w:ascii="Courier New" w:hAnsi="Courier New"/>
          <w:sz w:val="22"/>
        </w:rPr>
      </w:pPr>
      <w:r>
        <w:rPr>
          <w:rFonts w:ascii="Courier New" w:hAnsi="Courier New"/>
          <w:sz w:val="22"/>
        </w:rPr>
        <w:t>─────────────────────────────</w:t>
      </w:r>
    </w:p>
    <w:p w14:paraId="B9020000">
      <w:pPr>
        <w:pStyle w:val="Style_3"/>
      </w:pPr>
    </w:p>
    <w:p w14:paraId="BA020000">
      <w:bookmarkStart w:id="137" w:name="anchor6000"/>
      <w:bookmarkEnd w:id="137"/>
      <w:r>
        <w:t xml:space="preserve">Приложение 6 к </w:t>
      </w:r>
      <w:r>
        <w:rPr>
          <w:color w:val="0000FF"/>
          <w:u w:val="single"/>
        </w:rPr>
        <w:fldChar w:fldCharType="begin"/>
      </w:r>
      <w:r>
        <w:rPr>
          <w:color w:val="0000FF"/>
          <w:u w:val="single"/>
        </w:rPr>
        <w:instrText>HYPERLINK \l "anchor10000"</w:instrText>
      </w:r>
      <w:r>
        <w:rPr>
          <w:color w:val="0000FF"/>
          <w:u w:val="single"/>
        </w:rPr>
        <w:fldChar w:fldCharType="separate"/>
      </w:r>
      <w:r>
        <w:rPr>
          <w:color w:val="0000FF"/>
          <w:u w:val="single"/>
        </w:rPr>
        <w:t>Порядку</w:t>
      </w:r>
      <w:r>
        <w:rPr>
          <w:color w:val="0000FF"/>
          <w:u w:val="single"/>
        </w:rPr>
        <w:fldChar w:fldCharType="end"/>
      </w:r>
      <w:r>
        <w:t xml:space="preserve"> предоставления субсидий в целях возмещения затрат, возникающих в связи с реализацией населению продовольственных товаров в части затрат по доставке в сельские населенные пункты Ненецкого автономного округа</w:t>
      </w:r>
    </w:p>
    <w:p w14:paraId="BB020000">
      <w:pPr>
        <w:pStyle w:val="Style_3"/>
      </w:pPr>
    </w:p>
    <w:p w14:paraId="BC020000">
      <w:pPr>
        <w:pStyle w:val="Style_5"/>
        <w:rPr>
          <w:rFonts w:ascii="Courier New" w:hAnsi="Courier New"/>
          <w:sz w:val="22"/>
        </w:rPr>
      </w:pPr>
      <w:r>
        <w:rPr>
          <w:rFonts w:ascii="Courier New" w:hAnsi="Courier New"/>
          <w:b w:val="1"/>
          <w:color w:val="26282F"/>
          <w:sz w:val="22"/>
        </w:rPr>
        <w:t xml:space="preserve">                               Отчет-реестр</w:t>
      </w:r>
    </w:p>
    <w:p w14:paraId="BD020000">
      <w:pPr>
        <w:pStyle w:val="Style_5"/>
        <w:rPr>
          <w:rFonts w:ascii="Courier New" w:hAnsi="Courier New"/>
          <w:sz w:val="22"/>
        </w:rPr>
      </w:pPr>
      <w:r>
        <w:rPr>
          <w:rFonts w:ascii="Courier New" w:hAnsi="Courier New"/>
          <w:b w:val="1"/>
          <w:color w:val="26282F"/>
          <w:sz w:val="22"/>
        </w:rPr>
        <w:t xml:space="preserve">         о наличии в розничной продаже не менее 75% наименований</w:t>
      </w:r>
    </w:p>
    <w:p w14:paraId="BE020000">
      <w:pPr>
        <w:pStyle w:val="Style_5"/>
        <w:rPr>
          <w:rFonts w:ascii="Courier New" w:hAnsi="Courier New"/>
          <w:sz w:val="22"/>
        </w:rPr>
      </w:pPr>
      <w:r>
        <w:rPr>
          <w:rFonts w:ascii="Courier New" w:hAnsi="Courier New"/>
          <w:b w:val="1"/>
          <w:color w:val="26282F"/>
          <w:sz w:val="22"/>
        </w:rPr>
        <w:t xml:space="preserve">          товаров, указанных в Перечне продовольственных товаров</w:t>
      </w:r>
    </w:p>
    <w:p w14:paraId="BF020000">
      <w:pPr>
        <w:pStyle w:val="Style_5"/>
        <w:rPr>
          <w:rFonts w:ascii="Courier New" w:hAnsi="Courier New"/>
          <w:sz w:val="22"/>
        </w:rPr>
      </w:pPr>
      <w:r>
        <w:rPr>
          <w:rFonts w:ascii="Courier New" w:hAnsi="Courier New"/>
          <w:b w:val="1"/>
          <w:color w:val="26282F"/>
          <w:sz w:val="22"/>
        </w:rPr>
        <w:t xml:space="preserve">                       за ________________ 20__ года</w:t>
      </w:r>
    </w:p>
    <w:p w14:paraId="C0020000">
      <w:pPr>
        <w:pStyle w:val="Style_5"/>
        <w:rPr>
          <w:rFonts w:ascii="Courier New" w:hAnsi="Courier New"/>
          <w:sz w:val="22"/>
        </w:rPr>
      </w:pPr>
      <w:r>
        <w:rPr>
          <w:rFonts w:ascii="Courier New" w:hAnsi="Courier New"/>
          <w:sz w:val="22"/>
        </w:rPr>
        <w:t xml:space="preserve">                          (отчетный месяц)</w:t>
      </w:r>
    </w:p>
    <w:p w14:paraId="C1020000">
      <w:pPr>
        <w:pStyle w:val="Style_3"/>
      </w:pPr>
    </w:p>
    <w:tbl>
      <w:tblPr>
        <w:tblW w:type="auto" w:w="0"/>
        <w:jc w:val="left"/>
        <w:tblLayout w:type="fixed"/>
      </w:tblPr>
      <w:tblGrid>
        <w:gridCol w:w="6973"/>
        <w:gridCol w:w="2948"/>
      </w:tblGrid>
      <w:tr>
        <w:tc>
          <w:tcPr>
            <w:tcW w:type="dxa" w:w="6973"/>
            <w:tcBorders>
              <w:top w:color="000000" w:sz="4" w:val="single"/>
              <w:left w:color="000000" w:sz="4" w:val="single"/>
              <w:bottom w:color="000000" w:sz="4" w:val="single"/>
              <w:right w:color="000000" w:sz="4" w:val="single"/>
            </w:tcBorders>
            <w:vAlign w:val="top"/>
          </w:tcPr>
          <w:p w14:paraId="C2020000">
            <w:pPr>
              <w:pStyle w:val="Style_3"/>
              <w:ind w:firstLine="0"/>
              <w:jc w:val="center"/>
            </w:pPr>
            <w:r>
              <w:t>Наименование продовольственных товаров</w:t>
            </w:r>
          </w:p>
        </w:tc>
        <w:tc>
          <w:tcPr>
            <w:tcW w:type="dxa" w:w="2948"/>
            <w:tcBorders>
              <w:top w:color="000000" w:sz="4" w:val="single"/>
              <w:bottom w:color="000000" w:sz="4" w:val="single"/>
              <w:right w:color="000000" w:sz="4" w:val="single"/>
            </w:tcBorders>
            <w:vAlign w:val="top"/>
          </w:tcPr>
          <w:p w14:paraId="C3020000">
            <w:pPr>
              <w:pStyle w:val="Style_3"/>
              <w:ind w:firstLine="0"/>
              <w:jc w:val="center"/>
            </w:pPr>
            <w:r>
              <w:t>Наличие в розничной продаже (да/нет)</w:t>
            </w:r>
          </w:p>
        </w:tc>
      </w:tr>
      <w:tr>
        <w:tc>
          <w:tcPr>
            <w:tcW w:type="dxa" w:w="6973"/>
            <w:tcBorders>
              <w:left w:color="000000" w:sz="4" w:val="single"/>
              <w:bottom w:color="000000" w:sz="4" w:val="single"/>
              <w:right w:color="000000" w:sz="4" w:val="single"/>
            </w:tcBorders>
            <w:vAlign w:val="top"/>
          </w:tcPr>
          <w:p w14:paraId="C4020000">
            <w:pPr>
              <w:pStyle w:val="Style_4"/>
              <w:ind w:firstLine="0"/>
            </w:pPr>
            <w:r>
              <w:t>1. Мясо свежемороженое, консервированное (свинина, говядина, оленина, мясо птицы)</w:t>
            </w:r>
          </w:p>
        </w:tc>
        <w:tc>
          <w:tcPr>
            <w:tcW w:type="dxa" w:w="2948"/>
            <w:tcBorders>
              <w:bottom w:color="000000" w:sz="4" w:val="single"/>
              <w:right w:color="000000" w:sz="4" w:val="single"/>
            </w:tcBorders>
            <w:vAlign w:val="top"/>
          </w:tcPr>
          <w:p w14:paraId="C5020000">
            <w:pPr>
              <w:pStyle w:val="Style_3"/>
            </w:pPr>
          </w:p>
        </w:tc>
      </w:tr>
      <w:tr>
        <w:tc>
          <w:tcPr>
            <w:tcW w:type="dxa" w:w="6973"/>
            <w:tcBorders>
              <w:left w:color="000000" w:sz="4" w:val="single"/>
              <w:bottom w:color="000000" w:sz="4" w:val="single"/>
              <w:right w:color="000000" w:sz="4" w:val="single"/>
            </w:tcBorders>
            <w:vAlign w:val="top"/>
          </w:tcPr>
          <w:p w14:paraId="C6020000">
            <w:pPr>
              <w:pStyle w:val="Style_4"/>
              <w:ind w:firstLine="0"/>
            </w:pPr>
            <w:r>
              <w:t>2. Масло сливочное</w:t>
            </w:r>
          </w:p>
        </w:tc>
        <w:tc>
          <w:tcPr>
            <w:tcW w:type="dxa" w:w="2948"/>
            <w:tcBorders>
              <w:bottom w:color="000000" w:sz="4" w:val="single"/>
              <w:right w:color="000000" w:sz="4" w:val="single"/>
            </w:tcBorders>
            <w:vAlign w:val="top"/>
          </w:tcPr>
          <w:p w14:paraId="C7020000">
            <w:pPr>
              <w:pStyle w:val="Style_3"/>
            </w:pPr>
          </w:p>
        </w:tc>
      </w:tr>
      <w:tr>
        <w:tc>
          <w:tcPr>
            <w:tcW w:type="dxa" w:w="6973"/>
            <w:tcBorders>
              <w:left w:color="000000" w:sz="4" w:val="single"/>
              <w:bottom w:color="000000" w:sz="4" w:val="single"/>
              <w:right w:color="000000" w:sz="4" w:val="single"/>
            </w:tcBorders>
            <w:vAlign w:val="top"/>
          </w:tcPr>
          <w:p w14:paraId="C8020000">
            <w:pPr>
              <w:pStyle w:val="Style_4"/>
              <w:ind w:firstLine="0"/>
            </w:pPr>
            <w:r>
              <w:t>3. Масло растительное</w:t>
            </w:r>
          </w:p>
        </w:tc>
        <w:tc>
          <w:tcPr>
            <w:tcW w:type="dxa" w:w="2948"/>
            <w:tcBorders>
              <w:bottom w:color="000000" w:sz="4" w:val="single"/>
              <w:right w:color="000000" w:sz="4" w:val="single"/>
            </w:tcBorders>
            <w:vAlign w:val="top"/>
          </w:tcPr>
          <w:p w14:paraId="C9020000">
            <w:pPr>
              <w:pStyle w:val="Style_3"/>
            </w:pPr>
          </w:p>
        </w:tc>
      </w:tr>
      <w:tr>
        <w:tc>
          <w:tcPr>
            <w:tcW w:type="dxa" w:w="6973"/>
            <w:tcBorders>
              <w:left w:color="000000" w:sz="4" w:val="single"/>
              <w:bottom w:color="000000" w:sz="4" w:val="single"/>
              <w:right w:color="000000" w:sz="4" w:val="single"/>
            </w:tcBorders>
            <w:vAlign w:val="top"/>
          </w:tcPr>
          <w:p w14:paraId="CA020000">
            <w:pPr>
              <w:pStyle w:val="Style_4"/>
              <w:ind w:firstLine="0"/>
            </w:pPr>
            <w:r>
              <w:t>4. Сахар</w:t>
            </w:r>
          </w:p>
        </w:tc>
        <w:tc>
          <w:tcPr>
            <w:tcW w:type="dxa" w:w="2948"/>
            <w:tcBorders>
              <w:bottom w:color="000000" w:sz="4" w:val="single"/>
              <w:right w:color="000000" w:sz="4" w:val="single"/>
            </w:tcBorders>
            <w:vAlign w:val="top"/>
          </w:tcPr>
          <w:p w14:paraId="CB020000">
            <w:pPr>
              <w:pStyle w:val="Style_3"/>
            </w:pPr>
          </w:p>
        </w:tc>
      </w:tr>
      <w:tr>
        <w:tc>
          <w:tcPr>
            <w:tcW w:type="dxa" w:w="6973"/>
            <w:tcBorders>
              <w:left w:color="000000" w:sz="4" w:val="single"/>
              <w:bottom w:color="000000" w:sz="4" w:val="single"/>
              <w:right w:color="000000" w:sz="4" w:val="single"/>
            </w:tcBorders>
            <w:vAlign w:val="top"/>
          </w:tcPr>
          <w:p w14:paraId="CC020000">
            <w:pPr>
              <w:pStyle w:val="Style_4"/>
              <w:ind w:firstLine="0"/>
            </w:pPr>
            <w:r>
              <w:t>5. Чай</w:t>
            </w:r>
          </w:p>
        </w:tc>
        <w:tc>
          <w:tcPr>
            <w:tcW w:type="dxa" w:w="2948"/>
            <w:tcBorders>
              <w:bottom w:color="000000" w:sz="4" w:val="single"/>
              <w:right w:color="000000" w:sz="4" w:val="single"/>
            </w:tcBorders>
            <w:vAlign w:val="top"/>
          </w:tcPr>
          <w:p w14:paraId="CD020000">
            <w:pPr>
              <w:pStyle w:val="Style_3"/>
            </w:pPr>
          </w:p>
        </w:tc>
      </w:tr>
      <w:tr>
        <w:tc>
          <w:tcPr>
            <w:tcW w:type="dxa" w:w="6973"/>
            <w:tcBorders>
              <w:left w:color="000000" w:sz="4" w:val="single"/>
              <w:bottom w:color="000000" w:sz="4" w:val="single"/>
              <w:right w:color="000000" w:sz="4" w:val="single"/>
            </w:tcBorders>
            <w:vAlign w:val="top"/>
          </w:tcPr>
          <w:p w14:paraId="CE020000">
            <w:pPr>
              <w:pStyle w:val="Style_4"/>
              <w:ind w:firstLine="0"/>
            </w:pPr>
            <w:r>
              <w:t>6. Макаронные изделия</w:t>
            </w:r>
          </w:p>
        </w:tc>
        <w:tc>
          <w:tcPr>
            <w:tcW w:type="dxa" w:w="2948"/>
            <w:tcBorders>
              <w:bottom w:color="000000" w:sz="4" w:val="single"/>
              <w:right w:color="000000" w:sz="4" w:val="single"/>
            </w:tcBorders>
            <w:vAlign w:val="top"/>
          </w:tcPr>
          <w:p w14:paraId="CF020000">
            <w:pPr>
              <w:pStyle w:val="Style_3"/>
            </w:pPr>
          </w:p>
        </w:tc>
      </w:tr>
      <w:tr>
        <w:tc>
          <w:tcPr>
            <w:tcW w:type="dxa" w:w="6973"/>
            <w:tcBorders>
              <w:left w:color="000000" w:sz="4" w:val="single"/>
              <w:bottom w:color="000000" w:sz="4" w:val="single"/>
              <w:right w:color="000000" w:sz="4" w:val="single"/>
            </w:tcBorders>
            <w:vAlign w:val="top"/>
          </w:tcPr>
          <w:p w14:paraId="D0020000">
            <w:pPr>
              <w:pStyle w:val="Style_4"/>
              <w:ind w:firstLine="0"/>
            </w:pPr>
            <w:r>
              <w:t>7. Мука пшеничная, пшенично-ржаная и ржаная для розничной торговли (без добавок)</w:t>
            </w:r>
          </w:p>
        </w:tc>
        <w:tc>
          <w:tcPr>
            <w:tcW w:type="dxa" w:w="2948"/>
            <w:tcBorders>
              <w:bottom w:color="000000" w:sz="4" w:val="single"/>
              <w:right w:color="000000" w:sz="4" w:val="single"/>
            </w:tcBorders>
            <w:vAlign w:val="top"/>
          </w:tcPr>
          <w:p w14:paraId="D1020000">
            <w:pPr>
              <w:pStyle w:val="Style_3"/>
            </w:pPr>
          </w:p>
        </w:tc>
      </w:tr>
      <w:tr>
        <w:tc>
          <w:tcPr>
            <w:tcW w:type="dxa" w:w="6973"/>
            <w:tcBorders>
              <w:left w:color="000000" w:sz="4" w:val="single"/>
              <w:bottom w:color="000000" w:sz="4" w:val="single"/>
              <w:right w:color="000000" w:sz="4" w:val="single"/>
            </w:tcBorders>
            <w:vAlign w:val="top"/>
          </w:tcPr>
          <w:p w14:paraId="D2020000">
            <w:pPr>
              <w:pStyle w:val="Style_4"/>
              <w:ind w:firstLine="0"/>
            </w:pPr>
            <w:r>
              <w:t>8. Крупы, включая бобовые (за исключением круп с добавками)</w:t>
            </w:r>
          </w:p>
        </w:tc>
        <w:tc>
          <w:tcPr>
            <w:tcW w:type="dxa" w:w="2948"/>
            <w:tcBorders>
              <w:bottom w:color="000000" w:sz="4" w:val="single"/>
              <w:right w:color="000000" w:sz="4" w:val="single"/>
            </w:tcBorders>
            <w:vAlign w:val="top"/>
          </w:tcPr>
          <w:p w14:paraId="D3020000">
            <w:pPr>
              <w:pStyle w:val="Style_3"/>
            </w:pPr>
          </w:p>
        </w:tc>
      </w:tr>
      <w:tr>
        <w:tc>
          <w:tcPr>
            <w:tcW w:type="dxa" w:w="6973"/>
            <w:tcBorders>
              <w:left w:color="000000" w:sz="4" w:val="single"/>
              <w:bottom w:color="000000" w:sz="4" w:val="single"/>
              <w:right w:color="000000" w:sz="4" w:val="single"/>
            </w:tcBorders>
            <w:vAlign w:val="top"/>
          </w:tcPr>
          <w:p w14:paraId="D4020000">
            <w:pPr>
              <w:pStyle w:val="Style_4"/>
              <w:ind w:firstLine="0"/>
            </w:pPr>
            <w:r>
              <w:t>9. Соль</w:t>
            </w:r>
          </w:p>
        </w:tc>
        <w:tc>
          <w:tcPr>
            <w:tcW w:type="dxa" w:w="2948"/>
            <w:tcBorders>
              <w:bottom w:color="000000" w:sz="4" w:val="single"/>
              <w:right w:color="000000" w:sz="4" w:val="single"/>
            </w:tcBorders>
            <w:vAlign w:val="top"/>
          </w:tcPr>
          <w:p w14:paraId="D5020000">
            <w:pPr>
              <w:pStyle w:val="Style_3"/>
            </w:pPr>
          </w:p>
        </w:tc>
      </w:tr>
      <w:tr>
        <w:tc>
          <w:tcPr>
            <w:tcW w:type="dxa" w:w="6973"/>
            <w:tcBorders>
              <w:left w:color="000000" w:sz="4" w:val="single"/>
              <w:bottom w:color="000000" w:sz="4" w:val="single"/>
              <w:right w:color="000000" w:sz="4" w:val="single"/>
            </w:tcBorders>
            <w:vAlign w:val="top"/>
          </w:tcPr>
          <w:p w14:paraId="D6020000">
            <w:pPr>
              <w:pStyle w:val="Style_4"/>
              <w:ind w:firstLine="0"/>
            </w:pPr>
            <w:r>
              <w:t>10. Яйцо куриное</w:t>
            </w:r>
          </w:p>
        </w:tc>
        <w:tc>
          <w:tcPr>
            <w:tcW w:type="dxa" w:w="2948"/>
            <w:tcBorders>
              <w:bottom w:color="000000" w:sz="4" w:val="single"/>
              <w:right w:color="000000" w:sz="4" w:val="single"/>
            </w:tcBorders>
            <w:vAlign w:val="top"/>
          </w:tcPr>
          <w:p w14:paraId="D7020000">
            <w:pPr>
              <w:pStyle w:val="Style_3"/>
            </w:pPr>
          </w:p>
        </w:tc>
      </w:tr>
      <w:tr>
        <w:tc>
          <w:tcPr>
            <w:tcW w:type="dxa" w:w="6973"/>
            <w:tcBorders>
              <w:left w:color="000000" w:sz="4" w:val="single"/>
              <w:bottom w:color="000000" w:sz="4" w:val="single"/>
              <w:right w:color="000000" w:sz="4" w:val="single"/>
            </w:tcBorders>
            <w:vAlign w:val="top"/>
          </w:tcPr>
          <w:p w14:paraId="D8020000">
            <w:pPr>
              <w:pStyle w:val="Style_4"/>
              <w:ind w:firstLine="0"/>
            </w:pPr>
            <w:r>
              <w:t>11. Свежие овощи и фрукты</w:t>
            </w:r>
          </w:p>
        </w:tc>
        <w:tc>
          <w:tcPr>
            <w:tcW w:type="dxa" w:w="2948"/>
            <w:tcBorders>
              <w:bottom w:color="000000" w:sz="4" w:val="single"/>
              <w:right w:color="000000" w:sz="4" w:val="single"/>
            </w:tcBorders>
            <w:vAlign w:val="top"/>
          </w:tcPr>
          <w:p w14:paraId="D9020000">
            <w:pPr>
              <w:pStyle w:val="Style_3"/>
            </w:pPr>
          </w:p>
        </w:tc>
      </w:tr>
      <w:tr>
        <w:tc>
          <w:tcPr>
            <w:tcW w:type="dxa" w:w="6973"/>
            <w:tcBorders>
              <w:left w:color="000000" w:sz="4" w:val="single"/>
              <w:bottom w:color="000000" w:sz="4" w:val="single"/>
              <w:right w:color="000000" w:sz="4" w:val="single"/>
            </w:tcBorders>
            <w:vAlign w:val="top"/>
          </w:tcPr>
          <w:p w14:paraId="DA020000">
            <w:pPr>
              <w:pStyle w:val="Style_4"/>
              <w:ind w:firstLine="0"/>
            </w:pPr>
            <w:r>
              <w:t>12. Молочная продукция (молоко, кефир, сметана, творог)</w:t>
            </w:r>
          </w:p>
        </w:tc>
        <w:tc>
          <w:tcPr>
            <w:tcW w:type="dxa" w:w="2948"/>
            <w:tcBorders>
              <w:bottom w:color="000000" w:sz="4" w:val="single"/>
              <w:right w:color="000000" w:sz="4" w:val="single"/>
            </w:tcBorders>
            <w:vAlign w:val="top"/>
          </w:tcPr>
          <w:p w14:paraId="DB020000">
            <w:pPr>
              <w:pStyle w:val="Style_3"/>
            </w:pPr>
          </w:p>
        </w:tc>
      </w:tr>
      <w:tr>
        <w:tc>
          <w:tcPr>
            <w:tcW w:type="dxa" w:w="6973"/>
            <w:tcBorders>
              <w:left w:color="000000" w:sz="4" w:val="single"/>
              <w:bottom w:color="000000" w:sz="4" w:val="single"/>
              <w:right w:color="000000" w:sz="4" w:val="single"/>
            </w:tcBorders>
            <w:vAlign w:val="top"/>
          </w:tcPr>
          <w:p w14:paraId="DC020000">
            <w:pPr>
              <w:pStyle w:val="Style_4"/>
              <w:ind w:firstLine="0"/>
            </w:pPr>
            <w:r>
              <w:t>13. Молоко сгущенное, молоко сухое</w:t>
            </w:r>
          </w:p>
        </w:tc>
        <w:tc>
          <w:tcPr>
            <w:tcW w:type="dxa" w:w="2948"/>
            <w:tcBorders>
              <w:bottom w:color="000000" w:sz="4" w:val="single"/>
              <w:right w:color="000000" w:sz="4" w:val="single"/>
            </w:tcBorders>
            <w:vAlign w:val="top"/>
          </w:tcPr>
          <w:p w14:paraId="DD020000">
            <w:pPr>
              <w:pStyle w:val="Style_3"/>
            </w:pPr>
          </w:p>
        </w:tc>
      </w:tr>
      <w:tr>
        <w:tc>
          <w:tcPr>
            <w:tcW w:type="dxa" w:w="6973"/>
            <w:tcBorders>
              <w:left w:color="000000" w:sz="4" w:val="single"/>
              <w:bottom w:color="000000" w:sz="4" w:val="single"/>
              <w:right w:color="000000" w:sz="4" w:val="single"/>
            </w:tcBorders>
            <w:vAlign w:val="top"/>
          </w:tcPr>
          <w:p w14:paraId="DE020000">
            <w:pPr>
              <w:pStyle w:val="Style_4"/>
              <w:ind w:firstLine="0"/>
            </w:pPr>
            <w:r>
              <w:t>14. Сыр, включая плавленый</w:t>
            </w:r>
          </w:p>
        </w:tc>
        <w:tc>
          <w:tcPr>
            <w:tcW w:type="dxa" w:w="2948"/>
            <w:tcBorders>
              <w:bottom w:color="000000" w:sz="4" w:val="single"/>
              <w:right w:color="000000" w:sz="4" w:val="single"/>
            </w:tcBorders>
            <w:vAlign w:val="top"/>
          </w:tcPr>
          <w:p w14:paraId="DF020000">
            <w:pPr>
              <w:pStyle w:val="Style_3"/>
            </w:pPr>
          </w:p>
        </w:tc>
      </w:tr>
      <w:tr>
        <w:tc>
          <w:tcPr>
            <w:tcW w:type="dxa" w:w="6973"/>
            <w:tcBorders>
              <w:left w:color="000000" w:sz="4" w:val="single"/>
              <w:bottom w:color="000000" w:sz="4" w:val="single"/>
              <w:right w:color="000000" w:sz="4" w:val="single"/>
            </w:tcBorders>
            <w:vAlign w:val="top"/>
          </w:tcPr>
          <w:p w14:paraId="E0020000">
            <w:pPr>
              <w:pStyle w:val="Style_4"/>
              <w:ind w:firstLine="0"/>
            </w:pPr>
            <w:r>
              <w:t>15. Колбасные изделия (колбасы, сосиски, сардельки, шпикачки)</w:t>
            </w:r>
          </w:p>
        </w:tc>
        <w:tc>
          <w:tcPr>
            <w:tcW w:type="dxa" w:w="2948"/>
            <w:tcBorders>
              <w:bottom w:color="000000" w:sz="4" w:val="single"/>
              <w:right w:color="000000" w:sz="4" w:val="single"/>
            </w:tcBorders>
            <w:vAlign w:val="top"/>
          </w:tcPr>
          <w:p w14:paraId="E1020000">
            <w:pPr>
              <w:pStyle w:val="Style_3"/>
            </w:pPr>
          </w:p>
        </w:tc>
      </w:tr>
      <w:tr>
        <w:tc>
          <w:tcPr>
            <w:tcW w:type="dxa" w:w="6973"/>
            <w:tcBorders>
              <w:left w:color="000000" w:sz="4" w:val="single"/>
              <w:bottom w:color="000000" w:sz="4" w:val="single"/>
              <w:right w:color="000000" w:sz="4" w:val="single"/>
            </w:tcBorders>
            <w:vAlign w:val="top"/>
          </w:tcPr>
          <w:p w14:paraId="E2020000">
            <w:pPr>
              <w:pStyle w:val="Style_4"/>
              <w:ind w:firstLine="0"/>
            </w:pPr>
            <w:r>
              <w:t>16. Соковая продукция</w:t>
            </w:r>
          </w:p>
        </w:tc>
        <w:tc>
          <w:tcPr>
            <w:tcW w:type="dxa" w:w="2948"/>
            <w:tcBorders>
              <w:bottom w:color="000000" w:sz="4" w:val="single"/>
              <w:right w:color="000000" w:sz="4" w:val="single"/>
            </w:tcBorders>
            <w:vAlign w:val="top"/>
          </w:tcPr>
          <w:p w14:paraId="E3020000">
            <w:pPr>
              <w:pStyle w:val="Style_3"/>
            </w:pPr>
          </w:p>
        </w:tc>
      </w:tr>
      <w:tr>
        <w:tc>
          <w:tcPr>
            <w:tcW w:type="dxa" w:w="6973"/>
            <w:tcBorders>
              <w:left w:color="000000" w:sz="4" w:val="single"/>
              <w:bottom w:color="000000" w:sz="4" w:val="single"/>
              <w:right w:color="000000" w:sz="4" w:val="single"/>
            </w:tcBorders>
            <w:vAlign w:val="top"/>
          </w:tcPr>
          <w:p w14:paraId="E4020000">
            <w:pPr>
              <w:pStyle w:val="Style_4"/>
              <w:ind w:firstLine="0"/>
            </w:pPr>
            <w:r>
              <w:t>17. Бараночные изделия, галеты</w:t>
            </w:r>
          </w:p>
        </w:tc>
        <w:tc>
          <w:tcPr>
            <w:tcW w:type="dxa" w:w="2948"/>
            <w:tcBorders>
              <w:bottom w:color="000000" w:sz="4" w:val="single"/>
              <w:right w:color="000000" w:sz="4" w:val="single"/>
            </w:tcBorders>
            <w:vAlign w:val="top"/>
          </w:tcPr>
          <w:p w14:paraId="E5020000">
            <w:pPr>
              <w:pStyle w:val="Style_3"/>
            </w:pPr>
          </w:p>
        </w:tc>
      </w:tr>
      <w:tr>
        <w:tc>
          <w:tcPr>
            <w:tcW w:type="dxa" w:w="6973"/>
            <w:tcBorders>
              <w:left w:color="000000" w:sz="4" w:val="single"/>
              <w:bottom w:color="000000" w:sz="4" w:val="single"/>
              <w:right w:color="000000" w:sz="4" w:val="single"/>
            </w:tcBorders>
            <w:vAlign w:val="top"/>
          </w:tcPr>
          <w:p w14:paraId="E6020000">
            <w:pPr>
              <w:pStyle w:val="Style_4"/>
              <w:ind w:firstLine="0"/>
            </w:pPr>
            <w:r>
              <w:t>18. Кондитерские изделия: (карамель)</w:t>
            </w:r>
          </w:p>
        </w:tc>
        <w:tc>
          <w:tcPr>
            <w:tcW w:type="dxa" w:w="2948"/>
            <w:tcBorders>
              <w:bottom w:color="000000" w:sz="4" w:val="single"/>
              <w:right w:color="000000" w:sz="4" w:val="single"/>
            </w:tcBorders>
            <w:vAlign w:val="top"/>
          </w:tcPr>
          <w:p w14:paraId="E7020000">
            <w:pPr>
              <w:pStyle w:val="Style_3"/>
            </w:pPr>
          </w:p>
        </w:tc>
      </w:tr>
    </w:tbl>
    <w:p w14:paraId="E8020000">
      <w:pPr>
        <w:pStyle w:val="Style_3"/>
      </w:pPr>
    </w:p>
    <w:p w14:paraId="E9020000">
      <w:pPr>
        <w:pStyle w:val="Style_5"/>
        <w:rPr>
          <w:rFonts w:ascii="Courier New" w:hAnsi="Courier New"/>
          <w:sz w:val="20"/>
        </w:rPr>
      </w:pPr>
      <w:r>
        <w:rPr>
          <w:rFonts w:ascii="Courier New" w:hAnsi="Courier New"/>
          <w:sz w:val="20"/>
        </w:rPr>
        <w:t>Лицо, осуществляющее</w:t>
      </w:r>
    </w:p>
    <w:p w14:paraId="EA020000">
      <w:pPr>
        <w:pStyle w:val="Style_5"/>
        <w:rPr>
          <w:rFonts w:ascii="Courier New" w:hAnsi="Courier New"/>
          <w:sz w:val="20"/>
        </w:rPr>
      </w:pPr>
      <w:r>
        <w:rPr>
          <w:rFonts w:ascii="Courier New" w:hAnsi="Courier New"/>
          <w:sz w:val="20"/>
        </w:rPr>
        <w:t>розничную торговлю          ______________      _________________________</w:t>
      </w:r>
    </w:p>
    <w:p w14:paraId="EB020000">
      <w:pPr>
        <w:pStyle w:val="Style_5"/>
        <w:rPr>
          <w:rFonts w:ascii="Courier New" w:hAnsi="Courier New"/>
          <w:sz w:val="20"/>
        </w:rPr>
      </w:pPr>
      <w:r>
        <w:rPr>
          <w:rFonts w:ascii="Courier New" w:hAnsi="Courier New"/>
          <w:sz w:val="20"/>
        </w:rPr>
        <w:t xml:space="preserve">                              (подпись)           (расшифровка подписи)</w:t>
      </w:r>
    </w:p>
    <w:p w14:paraId="EC020000">
      <w:pPr>
        <w:pStyle w:val="Style_5"/>
        <w:rPr>
          <w:rFonts w:ascii="Courier New" w:hAnsi="Courier New"/>
          <w:sz w:val="20"/>
        </w:rPr>
      </w:pPr>
      <w:r>
        <w:rPr>
          <w:rFonts w:ascii="Courier New" w:hAnsi="Courier New"/>
          <w:sz w:val="20"/>
        </w:rPr>
        <w:t>М.П.</w:t>
      </w:r>
    </w:p>
    <w:p w14:paraId="ED020000">
      <w:pPr>
        <w:pStyle w:val="Style_3"/>
      </w:pPr>
    </w:p>
    <w:p w14:paraId="EE020000">
      <w:pPr>
        <w:pStyle w:val="Style_5"/>
        <w:rPr>
          <w:rFonts w:ascii="Courier New" w:hAnsi="Courier New"/>
          <w:sz w:val="20"/>
        </w:rPr>
      </w:pPr>
      <w:r>
        <w:rPr>
          <w:rFonts w:ascii="Courier New" w:hAnsi="Courier New"/>
          <w:sz w:val="20"/>
        </w:rPr>
        <w:t>Ответственное лицо от</w:t>
      </w:r>
    </w:p>
    <w:p w14:paraId="EF020000">
      <w:pPr>
        <w:pStyle w:val="Style_5"/>
        <w:rPr>
          <w:rFonts w:ascii="Courier New" w:hAnsi="Courier New"/>
          <w:sz w:val="20"/>
        </w:rPr>
      </w:pPr>
      <w:r>
        <w:rPr>
          <w:rFonts w:ascii="Courier New" w:hAnsi="Courier New"/>
          <w:sz w:val="20"/>
        </w:rPr>
        <w:t>администрации муниципального</w:t>
      </w:r>
    </w:p>
    <w:p w14:paraId="F0020000">
      <w:pPr>
        <w:pStyle w:val="Style_5"/>
        <w:rPr>
          <w:rFonts w:ascii="Courier New" w:hAnsi="Courier New"/>
          <w:sz w:val="20"/>
        </w:rPr>
      </w:pPr>
      <w:r>
        <w:rPr>
          <w:rFonts w:ascii="Courier New" w:hAnsi="Courier New"/>
          <w:sz w:val="20"/>
        </w:rPr>
        <w:t>образования поселения _____________________ _________ _____________________</w:t>
      </w:r>
    </w:p>
    <w:p w14:paraId="F1020000">
      <w:pPr>
        <w:pStyle w:val="Style_5"/>
        <w:rPr>
          <w:rFonts w:ascii="Courier New" w:hAnsi="Courier New"/>
          <w:sz w:val="20"/>
        </w:rPr>
      </w:pPr>
      <w:r>
        <w:rPr>
          <w:rFonts w:ascii="Courier New" w:hAnsi="Courier New"/>
          <w:sz w:val="20"/>
        </w:rPr>
        <w:t xml:space="preserve">                     (занимаемая должность) (подпись) (расшифровка подписи)</w:t>
      </w:r>
    </w:p>
    <w:p w14:paraId="F2020000">
      <w:pPr>
        <w:pStyle w:val="Style_5"/>
        <w:rPr>
          <w:rFonts w:ascii="Courier New" w:hAnsi="Courier New"/>
          <w:sz w:val="20"/>
        </w:rPr>
      </w:pPr>
      <w:r>
        <w:rPr>
          <w:rFonts w:ascii="Courier New" w:hAnsi="Courier New"/>
          <w:sz w:val="20"/>
        </w:rPr>
        <w:t>М.П.</w:t>
      </w:r>
    </w:p>
    <w:p w14:paraId="F3020000">
      <w:pPr>
        <w:pStyle w:val="Style_3"/>
      </w:pPr>
    </w:p>
    <w:p w14:paraId="F4020000">
      <w:pPr>
        <w:pStyle w:val="Style_5"/>
        <w:rPr>
          <w:rFonts w:ascii="Courier New" w:hAnsi="Courier New"/>
          <w:sz w:val="20"/>
        </w:rPr>
      </w:pPr>
      <w:r>
        <w:rPr>
          <w:rFonts w:ascii="Courier New" w:hAnsi="Courier New"/>
          <w:sz w:val="20"/>
        </w:rPr>
        <w:t>"___" _________ 20___ г</w:t>
      </w:r>
    </w:p>
    <w:p w14:paraId="F5020000">
      <w:pPr>
        <w:pStyle w:val="Style_3"/>
      </w:pPr>
    </w:p>
    <w:sectPr>
      <w:headerReference r:id="rId7" w:type="default"/>
      <w:footerReference r:id="rId8" w:type="default"/>
      <w:type w:val="nextPage"/>
      <w:pgSz w:h="16838" w:orient="portrait" w:w="11906"/>
      <w:pgMar w:bottom="794" w:footer="794" w:header="794" w:left="794" w:right="794" w:top="79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Layout w:type="fixed"/>
    </w:tblPr>
    <w:tblGrid>
      <w:gridCol/>
      <w:gridCol/>
      <w:gridCol/>
    </w:tblGrid>
    <w:tr>
      <w:tc>
        <w:tcPr/>
        <w:p w14:paraId="02000000">
          <w:pPr>
            <w:pStyle w:val="Style_1"/>
            <w:ind w:firstLine="0"/>
            <w:jc w:val="left"/>
            <w:rPr>
              <w:rFonts w:ascii="Times New Roman" w:hAnsi="Times New Roman"/>
            </w:rPr>
          </w:pPr>
          <w:r>
            <w:rPr>
              <w:rFonts w:ascii="Times New Roman" w:hAnsi="Times New Roman"/>
            </w:rPr>
            <w:t xml:space="preserve"> </w:t>
          </w:r>
          <w:r>
            <w:rPr>
              <w:rFonts w:ascii="Times New Roman" w:hAnsi="Times New Roman"/>
            </w:rPr>
            <w:t xml:space="preserve"> </w:t>
          </w:r>
        </w:p>
      </w:tc>
      <w:tc>
        <w:tcPr/>
        <w:p w14:paraId="03000000">
          <w:pPr>
            <w:pStyle w:val="Style_1"/>
            <w:ind w:firstLine="0"/>
            <w:jc w:val="center"/>
            <w:rPr>
              <w:rFonts w:ascii="Times New Roman" w:hAnsi="Times New Roman"/>
            </w:rPr>
          </w:pPr>
          <w:r>
            <w:rPr>
              <w:rFonts w:ascii="Times New Roman" w:hAnsi="Times New Roman"/>
            </w:rPr>
            <w:t xml:space="preserve">Система ГАРАНТ </w:t>
          </w:r>
        </w:p>
      </w:tc>
      <w:tc>
        <w:tcPr/>
        <w:p w14:paraId="04000000">
          <w:pPr>
            <w:pStyle w:val="Style_1"/>
            <w:ind w:firstLine="0"/>
            <w:jc w:val="right"/>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 \* Arabic</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t xml:space="preserve"> </w:t>
          </w:r>
        </w:p>
      </w:tc>
    </w:tr>
  </w:tbl>
  <w:p w14:paraId="05000000"/>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Layout w:type="fixed"/>
    </w:tblPr>
    <w:tblGrid>
      <w:gridCol/>
      <w:gridCol/>
      <w:gridCol/>
    </w:tblGrid>
    <w:tr>
      <w:tc>
        <w:tcPr/>
        <w:p w14:paraId="07000000">
          <w:pPr>
            <w:pStyle w:val="Style_1"/>
            <w:ind w:firstLine="0"/>
            <w:jc w:val="left"/>
            <w:rPr>
              <w:rFonts w:ascii="Times New Roman" w:hAnsi="Times New Roman"/>
            </w:rPr>
          </w:pPr>
          <w:r>
            <w:rPr>
              <w:rFonts w:ascii="Times New Roman" w:hAnsi="Times New Roman"/>
            </w:rPr>
            <w:t xml:space="preserve"> </w:t>
          </w:r>
          <w:r>
            <w:rPr>
              <w:rFonts w:ascii="Times New Roman" w:hAnsi="Times New Roman"/>
            </w:rPr>
            <w:t xml:space="preserve"> </w:t>
          </w:r>
        </w:p>
      </w:tc>
      <w:tc>
        <w:tcPr/>
        <w:p w14:paraId="08000000">
          <w:pPr>
            <w:pStyle w:val="Style_1"/>
            <w:ind w:firstLine="0"/>
            <w:jc w:val="center"/>
            <w:rPr>
              <w:rFonts w:ascii="Times New Roman" w:hAnsi="Times New Roman"/>
            </w:rPr>
          </w:pPr>
          <w:r>
            <w:rPr>
              <w:rFonts w:ascii="Times New Roman" w:hAnsi="Times New Roman"/>
            </w:rPr>
            <w:t xml:space="preserve">Система ГАРАНТ </w:t>
          </w:r>
        </w:p>
      </w:tc>
      <w:tc>
        <w:tcPr/>
        <w:p w14:paraId="09000000">
          <w:pPr>
            <w:pStyle w:val="Style_1"/>
            <w:ind w:firstLine="0"/>
            <w:jc w:val="right"/>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 \* Arabic</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t xml:space="preserve"> </w:t>
          </w:r>
        </w:p>
      </w:tc>
    </w:tr>
  </w:tbl>
  <w:p w14:paraId="0A000000"/>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Layout w:type="fixed"/>
    </w:tblPr>
    <w:tblGrid>
      <w:gridCol/>
      <w:gridCol/>
      <w:gridCol/>
    </w:tblGrid>
    <w:tr>
      <w:tc>
        <w:tcPr/>
        <w:p w14:paraId="0C000000">
          <w:pPr>
            <w:pStyle w:val="Style_1"/>
            <w:ind w:firstLine="0"/>
            <w:jc w:val="left"/>
            <w:rPr>
              <w:rFonts w:ascii="Times New Roman" w:hAnsi="Times New Roman"/>
            </w:rPr>
          </w:pPr>
          <w:r>
            <w:rPr>
              <w:rFonts w:ascii="Times New Roman" w:hAnsi="Times New Roman"/>
            </w:rPr>
            <w:t xml:space="preserve"> </w:t>
          </w:r>
          <w:r>
            <w:rPr>
              <w:rFonts w:ascii="Times New Roman" w:hAnsi="Times New Roman"/>
            </w:rPr>
            <w:t xml:space="preserve"> </w:t>
          </w:r>
        </w:p>
      </w:tc>
      <w:tc>
        <w:tcPr/>
        <w:p w14:paraId="0D000000">
          <w:pPr>
            <w:pStyle w:val="Style_1"/>
            <w:ind w:firstLine="0"/>
            <w:jc w:val="center"/>
            <w:rPr>
              <w:rFonts w:ascii="Times New Roman" w:hAnsi="Times New Roman"/>
            </w:rPr>
          </w:pPr>
          <w:r>
            <w:rPr>
              <w:rFonts w:ascii="Times New Roman" w:hAnsi="Times New Roman"/>
            </w:rPr>
            <w:t xml:space="preserve">Система ГАРАНТ </w:t>
          </w:r>
        </w:p>
      </w:tc>
      <w:tc>
        <w:tcPr/>
        <w:p w14:paraId="0E000000">
          <w:pPr>
            <w:pStyle w:val="Style_1"/>
            <w:ind w:firstLine="0"/>
            <w:jc w:val="right"/>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 \* Arabic</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t xml:space="preserve"> </w:t>
          </w:r>
        </w:p>
      </w:tc>
    </w:tr>
  </w:tbl>
  <w:p w14:paraId="0F000000"/>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Layout w:type="fixed"/>
    </w:tblPr>
    <w:tblGrid>
      <w:gridCol/>
      <w:gridCol/>
      <w:gridCol/>
    </w:tblGrid>
    <w:tr>
      <w:tc>
        <w:tcPr/>
        <w:p w14:paraId="11000000">
          <w:pPr>
            <w:pStyle w:val="Style_1"/>
            <w:ind w:firstLine="0"/>
            <w:jc w:val="left"/>
            <w:rPr>
              <w:rFonts w:ascii="Times New Roman" w:hAnsi="Times New Roman"/>
            </w:rPr>
          </w:pPr>
          <w:r>
            <w:rPr>
              <w:rFonts w:ascii="Times New Roman" w:hAnsi="Times New Roman"/>
            </w:rPr>
            <w:t xml:space="preserve"> </w:t>
          </w:r>
          <w:r>
            <w:rPr>
              <w:rFonts w:ascii="Times New Roman" w:hAnsi="Times New Roman"/>
            </w:rPr>
            <w:t xml:space="preserve"> </w:t>
          </w:r>
        </w:p>
      </w:tc>
      <w:tc>
        <w:tcPr/>
        <w:p w14:paraId="12000000">
          <w:pPr>
            <w:pStyle w:val="Style_1"/>
            <w:ind w:firstLine="0"/>
            <w:jc w:val="center"/>
            <w:rPr>
              <w:rFonts w:ascii="Times New Roman" w:hAnsi="Times New Roman"/>
            </w:rPr>
          </w:pPr>
          <w:r>
            <w:rPr>
              <w:rFonts w:ascii="Times New Roman" w:hAnsi="Times New Roman"/>
            </w:rPr>
            <w:t xml:space="preserve">Система ГАРАНТ </w:t>
          </w:r>
        </w:p>
      </w:tc>
      <w:tc>
        <w:tcPr/>
        <w:p w14:paraId="13000000">
          <w:pPr>
            <w:pStyle w:val="Style_1"/>
            <w:ind w:firstLine="0"/>
            <w:jc w:val="right"/>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 \* Arabic</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t xml:space="preserve"> </w:t>
          </w:r>
        </w:p>
      </w:tc>
    </w:tr>
  </w:tbl>
  <w:p w14:paraId="14000000"/>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firstLine="0"/>
      <w:jc w:val="left"/>
      <w:rPr>
        <w:rFonts w:ascii="Times New Roman" w:hAnsi="Times New Roman"/>
      </w:rPr>
    </w:pPr>
    <w:r>
      <w:rPr>
        <w:rFonts w:ascii="Times New Roman" w:hAnsi="Times New Roman"/>
      </w:rPr>
      <w:t>Постановление Администрации Ненецкого автономного округа от 21 февраля 2025 г. N 28-п "Об утвержд...</w:t>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ind w:firstLine="0"/>
      <w:jc w:val="left"/>
      <w:rPr>
        <w:rFonts w:ascii="Times New Roman" w:hAnsi="Times New Roman"/>
      </w:rPr>
    </w:pPr>
    <w:r>
      <w:rPr>
        <w:rFonts w:ascii="Times New Roman" w:hAnsi="Times New Roman"/>
      </w:rPr>
      <w:t>Постановление Администрации Ненецкого автономного округа от 21 февраля 2025 г. N 28-п "Об утвержд...</w: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firstLine="0"/>
      <w:jc w:val="left"/>
      <w:rPr>
        <w:rFonts w:ascii="Times New Roman" w:hAnsi="Times New Roman"/>
      </w:rPr>
    </w:pPr>
    <w:r>
      <w:rPr>
        <w:rFonts w:ascii="Times New Roman" w:hAnsi="Times New Roman"/>
      </w:rPr>
      <w:t>Постановление Администрации Ненецкого автономного округа от 21 февраля 2025 г. N 28-п "Об утвержд...</w: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ind w:firstLine="0"/>
      <w:jc w:val="left"/>
      <w:rPr>
        <w:rFonts w:ascii="Times New Roman" w:hAnsi="Times New Roman"/>
      </w:rPr>
    </w:pPr>
    <w:r>
      <w:rPr>
        <w:rFonts w:ascii="Times New Roman" w:hAnsi="Times New Roman"/>
      </w:rPr>
      <w:t>Постановление Администрации Ненецкого автономного округа от 21 февраля 2025 г. N 28-п "Об утвержд...</w:t>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rPr>
      <w:rFonts w:ascii="Times New Roman" w:hAnsi="Times New Roman"/>
      <w:sz w:val="24"/>
    </w:rPr>
  </w:style>
  <w:style w:default="1" w:styleId="Style_7_ch" w:type="character">
    <w:name w:val="Normal"/>
    <w:link w:val="Style_7"/>
    <w:rPr>
      <w:rFonts w:ascii="Times New Roman" w:hAnsi="Times New Roman"/>
      <w:sz w:val="24"/>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Heading"/>
    <w:basedOn w:val="Style_1"/>
    <w:link w:val="Style_9_ch"/>
    <w:pPr>
      <w:keepNext w:val="1"/>
      <w:spacing w:after="120" w:before="240"/>
      <w:ind/>
      <w:jc w:val="center"/>
    </w:pPr>
    <w:rPr>
      <w:rFonts w:ascii="Times New Roman" w:hAnsi="Times New Roman"/>
      <w:b w:val="1"/>
    </w:rPr>
  </w:style>
  <w:style w:styleId="Style_9_ch" w:type="character">
    <w:name w:val="Heading"/>
    <w:basedOn w:val="Style_1_ch"/>
    <w:link w:val="Style_9"/>
    <w:rPr>
      <w:rFonts w:ascii="Times New Roman" w:hAnsi="Times New Roman"/>
      <w:b w:val="1"/>
    </w:rPr>
  </w:style>
  <w:style w:styleId="Style_10" w:type="paragraph">
    <w:name w:val="Заголовок 4"/>
    <w:basedOn w:val="Style_9"/>
    <w:link w:val="Style_10_ch"/>
  </w:style>
  <w:style w:styleId="Style_10_ch" w:type="character">
    <w:name w:val="Заголовок 4"/>
    <w:basedOn w:val="Style_9_ch"/>
    <w:link w:val="Style_10"/>
  </w:style>
  <w:style w:styleId="Style_11" w:type="paragraph">
    <w:name w:val="toc 4"/>
    <w:next w:val="Style_7"/>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Не вступил в силу"/>
    <w:basedOn w:val="Style_1"/>
    <w:link w:val="Style_12_ch"/>
    <w:pPr>
      <w:ind w:hanging="139" w:left="139" w:right="0"/>
    </w:pPr>
  </w:style>
  <w:style w:styleId="Style_12_ch" w:type="character">
    <w:name w:val="Не вступил в силу"/>
    <w:basedOn w:val="Style_1_ch"/>
    <w:link w:val="Style_12"/>
  </w:style>
  <w:style w:styleId="Style_6" w:type="paragraph">
    <w:name w:val="Сноска"/>
    <w:basedOn w:val="Style_1"/>
    <w:link w:val="Style_6_ch"/>
    <w:rPr>
      <w:sz w:val="20"/>
    </w:rPr>
  </w:style>
  <w:style w:styleId="Style_6_ch" w:type="character">
    <w:name w:val="Сноска"/>
    <w:basedOn w:val="Style_1_ch"/>
    <w:link w:val="Style_6"/>
    <w:rPr>
      <w:sz w:val="20"/>
    </w:rPr>
  </w:style>
  <w:style w:styleId="Style_13" w:type="paragraph">
    <w:name w:val="toc 6"/>
    <w:next w:val="Style_7"/>
    <w:link w:val="Style_13_ch"/>
    <w:uiPriority w:val="39"/>
    <w:pPr>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7"/>
    <w:link w:val="Style_14_ch"/>
    <w:uiPriority w:val="39"/>
    <w:pPr>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7"/>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Информация о версии"/>
    <w:basedOn w:val="Style_18"/>
    <w:link w:val="Style_17_ch"/>
    <w:pPr>
      <w:ind/>
      <w:jc w:val="both"/>
    </w:pPr>
    <w:rPr>
      <w:shd w:fill="F0F0F0" w:val="clear"/>
    </w:rPr>
  </w:style>
  <w:style w:styleId="Style_17_ch" w:type="character">
    <w:name w:val="Информация о версии"/>
    <w:basedOn w:val="Style_18_ch"/>
    <w:link w:val="Style_17"/>
    <w:rPr>
      <w:shd w:fill="F0F0F0" w:val="clear"/>
    </w:rPr>
  </w:style>
  <w:style w:styleId="Style_19" w:type="paragraph">
    <w:name w:val="Заголовок 2"/>
    <w:basedOn w:val="Style_9"/>
    <w:link w:val="Style_19_ch"/>
  </w:style>
  <w:style w:styleId="Style_19_ch" w:type="character">
    <w:name w:val="Заголовок 2"/>
    <w:basedOn w:val="Style_9_ch"/>
    <w:link w:val="Style_19"/>
  </w:style>
  <w:style w:styleId="Style_4" w:type="paragraph">
    <w:name w:val="Прижатый влево"/>
    <w:basedOn w:val="Style_1"/>
    <w:link w:val="Style_4_ch"/>
    <w:pPr>
      <w:ind w:firstLine="0"/>
      <w:jc w:val="left"/>
    </w:pPr>
  </w:style>
  <w:style w:styleId="Style_4_ch" w:type="character">
    <w:name w:val="Прижатый влево"/>
    <w:basedOn w:val="Style_1_ch"/>
    <w:link w:val="Style_4"/>
  </w:style>
  <w:style w:styleId="Style_20" w:type="paragraph">
    <w:name w:val="Утратил силу"/>
    <w:basedOn w:val="Style_1"/>
    <w:link w:val="Style_20_ch"/>
    <w:rPr>
      <w:strike w:val="1"/>
      <w:color w:val="666600"/>
    </w:rPr>
  </w:style>
  <w:style w:styleId="Style_20_ch" w:type="character">
    <w:name w:val="Утратил силу"/>
    <w:basedOn w:val="Style_1_ch"/>
    <w:link w:val="Style_20"/>
    <w:rPr>
      <w:strike w:val="1"/>
      <w:color w:val="666600"/>
    </w:rPr>
  </w:style>
  <w:style w:styleId="Style_21" w:type="paragraph">
    <w:name w:val="Взамен"/>
    <w:basedOn w:val="Style_18"/>
    <w:link w:val="Style_21_ch"/>
    <w:pPr>
      <w:ind w:firstLine="0" w:left="432"/>
    </w:pPr>
    <w:rPr>
      <w:shd w:fill="FFF5AD" w:val="clear"/>
    </w:rPr>
  </w:style>
  <w:style w:styleId="Style_21_ch" w:type="character">
    <w:name w:val="Взамен"/>
    <w:basedOn w:val="Style_18_ch"/>
    <w:link w:val="Style_21"/>
    <w:rPr>
      <w:shd w:fill="FFF5AD" w:val="clear"/>
    </w:rPr>
  </w:style>
  <w:style w:styleId="Style_22" w:type="paragraph">
    <w:name w:val="toc 3"/>
    <w:next w:val="Style_7"/>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23" w:type="paragraph">
    <w:name w:val="Информация об изменениях"/>
    <w:basedOn w:val="Style_18"/>
    <w:link w:val="Style_23_ch"/>
    <w:rPr>
      <w:sz w:val="20"/>
      <w:shd w:fill="EAEFED" w:val="clear"/>
    </w:rPr>
  </w:style>
  <w:style w:styleId="Style_23_ch" w:type="character">
    <w:name w:val="Информация об изменениях"/>
    <w:basedOn w:val="Style_18_ch"/>
    <w:link w:val="Style_23"/>
    <w:rPr>
      <w:sz w:val="20"/>
      <w:shd w:fill="EAEFED" w:val="clear"/>
    </w:rPr>
  </w:style>
  <w:style w:styleId="Style_24" w:type="paragraph">
    <w:name w:val="Preformatted"/>
    <w:link w:val="Style_24_ch"/>
    <w:pPr>
      <w:widowControl w:val="1"/>
      <w:spacing w:after="0" w:before="0"/>
      <w:ind w:firstLine="0" w:left="0" w:right="0"/>
      <w:jc w:val="both"/>
    </w:pPr>
    <w:rPr>
      <w:rFonts w:ascii="Courier New" w:hAnsi="Courier New"/>
      <w:sz w:val="24"/>
    </w:rPr>
  </w:style>
  <w:style w:styleId="Style_24_ch" w:type="character">
    <w:name w:val="Preformatted"/>
    <w:link w:val="Style_24"/>
    <w:rPr>
      <w:rFonts w:ascii="Courier New" w:hAnsi="Courier New"/>
      <w:sz w:val="24"/>
    </w:rPr>
  </w:style>
  <w:style w:styleId="Style_1" w:type="paragraph">
    <w:name w:val="Standard"/>
    <w:link w:val="Style_1_ch"/>
    <w:pPr>
      <w:widowControl w:val="1"/>
      <w:spacing w:after="0" w:before="0"/>
      <w:ind w:firstLine="720" w:left="0" w:right="0"/>
      <w:jc w:val="both"/>
    </w:pPr>
    <w:rPr>
      <w:rFonts w:ascii="Times New Roman" w:hAnsi="Times New Roman"/>
      <w:sz w:val="24"/>
    </w:rPr>
  </w:style>
  <w:style w:styleId="Style_1_ch" w:type="character">
    <w:name w:val="Standard"/>
    <w:link w:val="Style_1"/>
    <w:rPr>
      <w:rFonts w:ascii="Times New Roman" w:hAnsi="Times New Roman"/>
      <w:sz w:val="24"/>
    </w:rPr>
  </w:style>
  <w:style w:styleId="Style_25" w:type="paragraph">
    <w:name w:val="heading 5"/>
    <w:next w:val="Style_7"/>
    <w:link w:val="Style_25_ch"/>
    <w:uiPriority w:val="9"/>
    <w:qFormat/>
    <w:pPr>
      <w:spacing w:after="120" w:before="120"/>
      <w:ind/>
      <w:jc w:val="both"/>
      <w:outlineLvl w:val="4"/>
    </w:pPr>
    <w:rPr>
      <w:rFonts w:ascii="XO Thames" w:hAnsi="XO Thames"/>
      <w:b w:val="1"/>
      <w:sz w:val="22"/>
    </w:rPr>
  </w:style>
  <w:style w:styleId="Style_25_ch" w:type="character">
    <w:name w:val="heading 5"/>
    <w:link w:val="Style_25"/>
    <w:rPr>
      <w:rFonts w:ascii="XO Thames" w:hAnsi="XO Thames"/>
      <w:b w:val="1"/>
      <w:sz w:val="22"/>
    </w:rPr>
  </w:style>
  <w:style w:styleId="Style_3" w:type="paragraph">
    <w:name w:val="Нормальный"/>
    <w:basedOn w:val="Style_1"/>
    <w:link w:val="Style_3_ch"/>
  </w:style>
  <w:style w:styleId="Style_3_ch" w:type="character">
    <w:name w:val="Нормальный"/>
    <w:basedOn w:val="Style_1_ch"/>
    <w:link w:val="Style_3"/>
  </w:style>
  <w:style w:styleId="Style_26" w:type="paragraph">
    <w:name w:val="heading 1"/>
    <w:next w:val="Style_7"/>
    <w:link w:val="Style_26_ch"/>
    <w:uiPriority w:val="9"/>
    <w:qFormat/>
    <w:pPr>
      <w:spacing w:after="120" w:before="120"/>
      <w:ind/>
      <w:jc w:val="both"/>
      <w:outlineLvl w:val="0"/>
    </w:pPr>
    <w:rPr>
      <w:rFonts w:ascii="XO Thames" w:hAnsi="XO Thames"/>
      <w:b w:val="1"/>
      <w:sz w:val="32"/>
    </w:rPr>
  </w:style>
  <w:style w:styleId="Style_26_ch" w:type="character">
    <w:name w:val="heading 1"/>
    <w:link w:val="Style_26"/>
    <w:rPr>
      <w:rFonts w:ascii="XO Thames" w:hAnsi="XO Thames"/>
      <w:b w:val="1"/>
      <w:sz w:val="32"/>
    </w:rPr>
  </w:style>
  <w:style w:styleId="Style_27" w:type="paragraph">
    <w:name w:val="Hyperlink"/>
    <w:link w:val="Style_27_ch"/>
    <w:rPr>
      <w:color w:val="0000FF"/>
      <w:u w:val="single"/>
    </w:rPr>
  </w:style>
  <w:style w:styleId="Style_27_ch" w:type="character">
    <w:name w:val="Hyperlink"/>
    <w:link w:val="Style_27"/>
    <w:rPr>
      <w:color w:val="0000FF"/>
      <w:u w:val="single"/>
    </w:rPr>
  </w:style>
  <w:style w:styleId="Style_28" w:type="paragraph">
    <w:name w:val="Footnote"/>
    <w:link w:val="Style_28_ch"/>
    <w:pPr>
      <w:ind w:firstLine="851" w:left="0"/>
      <w:jc w:val="both"/>
    </w:pPr>
    <w:rPr>
      <w:rFonts w:ascii="XO Thames" w:hAnsi="XO Thames"/>
      <w:sz w:val="22"/>
    </w:rPr>
  </w:style>
  <w:style w:styleId="Style_28_ch" w:type="character">
    <w:name w:val="Footnote"/>
    <w:link w:val="Style_28"/>
    <w:rPr>
      <w:rFonts w:ascii="XO Thames" w:hAnsi="XO Thames"/>
      <w:sz w:val="22"/>
    </w:rPr>
  </w:style>
  <w:style w:styleId="Style_29" w:type="paragraph">
    <w:name w:val="toc 1"/>
    <w:next w:val="Style_7"/>
    <w:link w:val="Style_29_ch"/>
    <w:uiPriority w:val="39"/>
    <w:pPr>
      <w:ind w:firstLine="0" w:left="0"/>
      <w:jc w:val="left"/>
    </w:pPr>
    <w:rPr>
      <w:rFonts w:ascii="XO Thames" w:hAnsi="XO Thames"/>
      <w:b w:val="1"/>
      <w:sz w:val="28"/>
    </w:rPr>
  </w:style>
  <w:style w:styleId="Style_29_ch" w:type="character">
    <w:name w:val="toc 1"/>
    <w:link w:val="Style_29"/>
    <w:rPr>
      <w:rFonts w:ascii="XO Thames" w:hAnsi="XO Thames"/>
      <w:b w:val="1"/>
      <w:sz w:val="28"/>
    </w:rPr>
  </w:style>
  <w:style w:styleId="Style_30" w:type="paragraph">
    <w:name w:val="Header and Footer"/>
    <w:link w:val="Style_30_ch"/>
    <w:pPr>
      <w:spacing w:line="240" w:lineRule="auto"/>
      <w:ind/>
      <w:jc w:val="both"/>
    </w:pPr>
    <w:rPr>
      <w:rFonts w:ascii="XO Thames" w:hAnsi="XO Thames"/>
      <w:sz w:val="28"/>
    </w:rPr>
  </w:style>
  <w:style w:styleId="Style_30_ch" w:type="character">
    <w:name w:val="Header and Footer"/>
    <w:link w:val="Style_30"/>
    <w:rPr>
      <w:rFonts w:ascii="XO Thames" w:hAnsi="XO Thames"/>
      <w:sz w:val="28"/>
    </w:rPr>
  </w:style>
  <w:style w:styleId="Style_31" w:type="paragraph">
    <w:name w:val="Заголовок ЭР (левое окно)"/>
    <w:basedOn w:val="Style_9"/>
    <w:link w:val="Style_31_ch"/>
  </w:style>
  <w:style w:styleId="Style_31_ch" w:type="character">
    <w:name w:val="Заголовок ЭР (левое окно)"/>
    <w:basedOn w:val="Style_9_ch"/>
    <w:link w:val="Style_31"/>
  </w:style>
  <w:style w:styleId="Style_32" w:type="paragraph">
    <w:name w:val="toc 9"/>
    <w:next w:val="Style_7"/>
    <w:link w:val="Style_32_ch"/>
    <w:uiPriority w:val="39"/>
    <w:pPr>
      <w:ind w:firstLine="0" w:left="1600"/>
      <w:jc w:val="left"/>
    </w:pPr>
    <w:rPr>
      <w:rFonts w:ascii="XO Thames" w:hAnsi="XO Thames"/>
      <w:sz w:val="28"/>
    </w:rPr>
  </w:style>
  <w:style w:styleId="Style_32_ch" w:type="character">
    <w:name w:val="toc 9"/>
    <w:link w:val="Style_32"/>
    <w:rPr>
      <w:rFonts w:ascii="XO Thames" w:hAnsi="XO Thames"/>
      <w:sz w:val="28"/>
    </w:rPr>
  </w:style>
  <w:style w:styleId="Style_18" w:type="paragraph">
    <w:name w:val="Text (reference)"/>
    <w:basedOn w:val="Style_1"/>
    <w:link w:val="Style_18_ch"/>
    <w:pPr>
      <w:spacing w:after="0" w:before="75"/>
      <w:ind w:firstLine="0" w:left="0" w:right="0"/>
      <w:jc w:val="both"/>
    </w:pPr>
    <w:rPr>
      <w:rFonts w:ascii="Times New Roman CYR" w:hAnsi="Times New Roman CYR"/>
      <w:i w:val="1"/>
      <w:color w:val="353842"/>
      <w:sz w:val="24"/>
    </w:rPr>
  </w:style>
  <w:style w:styleId="Style_18_ch" w:type="character">
    <w:name w:val="Text (reference)"/>
    <w:basedOn w:val="Style_1_ch"/>
    <w:link w:val="Style_18"/>
    <w:rPr>
      <w:rFonts w:ascii="Times New Roman CYR" w:hAnsi="Times New Roman CYR"/>
      <w:i w:val="1"/>
      <w:color w:val="353842"/>
      <w:sz w:val="24"/>
    </w:rPr>
  </w:style>
  <w:style w:styleId="Style_33" w:type="paragraph">
    <w:name w:val="Заголовок 3"/>
    <w:basedOn w:val="Style_9"/>
    <w:link w:val="Style_33_ch"/>
  </w:style>
  <w:style w:styleId="Style_33_ch" w:type="character">
    <w:name w:val="Заголовок 3"/>
    <w:basedOn w:val="Style_9_ch"/>
    <w:link w:val="Style_33"/>
  </w:style>
  <w:style w:styleId="Style_34" w:type="paragraph">
    <w:name w:val="Комментарий"/>
    <w:basedOn w:val="Style_18"/>
    <w:link w:val="Style_34_ch"/>
    <w:pPr>
      <w:ind/>
      <w:jc w:val="both"/>
    </w:pPr>
    <w:rPr>
      <w:shd w:fill="F0F0F0" w:val="clear"/>
    </w:rPr>
  </w:style>
  <w:style w:styleId="Style_34_ch" w:type="character">
    <w:name w:val="Комментарий"/>
    <w:basedOn w:val="Style_18_ch"/>
    <w:link w:val="Style_34"/>
    <w:rPr>
      <w:shd w:fill="F0F0F0" w:val="clear"/>
    </w:rPr>
  </w:style>
  <w:style w:styleId="Style_35" w:type="paragraph">
    <w:name w:val="Сравнение"/>
    <w:basedOn w:val="Style_18"/>
    <w:link w:val="Style_35_ch"/>
    <w:pPr>
      <w:ind w:firstLine="0" w:left="432"/>
    </w:pPr>
    <w:rPr>
      <w:shd w:fill="F0F0F0" w:val="clear"/>
    </w:rPr>
  </w:style>
  <w:style w:styleId="Style_35_ch" w:type="character">
    <w:name w:val="Сравнение"/>
    <w:basedOn w:val="Style_18_ch"/>
    <w:link w:val="Style_35"/>
    <w:rPr>
      <w:shd w:fill="F0F0F0" w:val="clear"/>
    </w:rPr>
  </w:style>
  <w:style w:styleId="Style_36" w:type="paragraph">
    <w:name w:val="toc 8"/>
    <w:next w:val="Style_7"/>
    <w:link w:val="Style_36_ch"/>
    <w:uiPriority w:val="39"/>
    <w:pPr>
      <w:ind w:firstLine="0" w:left="1400"/>
      <w:jc w:val="left"/>
    </w:pPr>
    <w:rPr>
      <w:rFonts w:ascii="XO Thames" w:hAnsi="XO Thames"/>
      <w:sz w:val="28"/>
    </w:rPr>
  </w:style>
  <w:style w:styleId="Style_36_ch" w:type="character">
    <w:name w:val="toc 8"/>
    <w:link w:val="Style_36"/>
    <w:rPr>
      <w:rFonts w:ascii="XO Thames" w:hAnsi="XO Thames"/>
      <w:sz w:val="28"/>
    </w:rPr>
  </w:style>
  <w:style w:styleId="Style_2" w:type="paragraph">
    <w:name w:val="Заголовок 1"/>
    <w:basedOn w:val="Style_9"/>
    <w:link w:val="Style_2_ch"/>
  </w:style>
  <w:style w:styleId="Style_2_ch" w:type="character">
    <w:name w:val="Заголовок 1"/>
    <w:basedOn w:val="Style_9_ch"/>
    <w:link w:val="Style_2"/>
  </w:style>
  <w:style w:styleId="Style_37" w:type="paragraph">
    <w:name w:val="toc 5"/>
    <w:next w:val="Style_7"/>
    <w:link w:val="Style_37_ch"/>
    <w:uiPriority w:val="39"/>
    <w:pPr>
      <w:ind w:firstLine="0" w:left="800"/>
      <w:jc w:val="left"/>
    </w:pPr>
    <w:rPr>
      <w:rFonts w:ascii="XO Thames" w:hAnsi="XO Thames"/>
      <w:sz w:val="28"/>
    </w:rPr>
  </w:style>
  <w:style w:styleId="Style_37_ch" w:type="character">
    <w:name w:val="toc 5"/>
    <w:link w:val="Style_37"/>
    <w:rPr>
      <w:rFonts w:ascii="XO Thames" w:hAnsi="XO Thames"/>
      <w:sz w:val="28"/>
    </w:rPr>
  </w:style>
  <w:style w:styleId="Style_5" w:type="paragraph">
    <w:name w:val="Нормальный (OEM)"/>
    <w:basedOn w:val="Style_24"/>
    <w:link w:val="Style_5_ch"/>
  </w:style>
  <w:style w:styleId="Style_5_ch" w:type="character">
    <w:name w:val="Нормальный (OEM)"/>
    <w:basedOn w:val="Style_24_ch"/>
    <w:link w:val="Style_5"/>
  </w:style>
  <w:style w:styleId="Style_38" w:type="paragraph">
    <w:name w:val="Subtitle"/>
    <w:next w:val="Style_7"/>
    <w:link w:val="Style_38_ch"/>
    <w:uiPriority w:val="11"/>
    <w:qFormat/>
    <w:pPr>
      <w:ind/>
      <w:jc w:val="both"/>
    </w:pPr>
    <w:rPr>
      <w:rFonts w:ascii="XO Thames" w:hAnsi="XO Thames"/>
      <w:i w:val="1"/>
      <w:sz w:val="24"/>
    </w:rPr>
  </w:style>
  <w:style w:styleId="Style_38_ch" w:type="character">
    <w:name w:val="Subtitle"/>
    <w:link w:val="Style_38"/>
    <w:rPr>
      <w:rFonts w:ascii="XO Thames" w:hAnsi="XO Thames"/>
      <w:i w:val="1"/>
      <w:sz w:val="24"/>
    </w:rPr>
  </w:style>
  <w:style w:styleId="Style_39" w:type="paragraph">
    <w:name w:val="Заголовок статьи"/>
    <w:basedOn w:val="Style_1"/>
    <w:link w:val="Style_39_ch"/>
    <w:pPr>
      <w:spacing w:after="0" w:before="0"/>
      <w:ind w:hanging="892" w:left="1612" w:right="0"/>
      <w:jc w:val="both"/>
    </w:pPr>
  </w:style>
  <w:style w:styleId="Style_39_ch" w:type="character">
    <w:name w:val="Заголовок статьи"/>
    <w:basedOn w:val="Style_1_ch"/>
    <w:link w:val="Style_39"/>
  </w:style>
  <w:style w:styleId="Style_40" w:type="paragraph">
    <w:name w:val="Title"/>
    <w:next w:val="Style_7"/>
    <w:link w:val="Style_40_ch"/>
    <w:uiPriority w:val="10"/>
    <w:qFormat/>
    <w:pPr>
      <w:spacing w:after="567" w:before="567"/>
      <w:ind/>
      <w:jc w:val="center"/>
    </w:pPr>
    <w:rPr>
      <w:rFonts w:ascii="XO Thames" w:hAnsi="XO Thames"/>
      <w:b w:val="1"/>
      <w:caps w:val="1"/>
      <w:sz w:val="40"/>
    </w:rPr>
  </w:style>
  <w:style w:styleId="Style_40_ch" w:type="character">
    <w:name w:val="Title"/>
    <w:link w:val="Style_40"/>
    <w:rPr>
      <w:rFonts w:ascii="XO Thames" w:hAnsi="XO Thames"/>
      <w:b w:val="1"/>
      <w:caps w:val="1"/>
      <w:sz w:val="40"/>
    </w:rPr>
  </w:style>
  <w:style w:styleId="Style_41" w:type="paragraph">
    <w:name w:val="heading 4"/>
    <w:next w:val="Style_7"/>
    <w:link w:val="Style_41_ch"/>
    <w:uiPriority w:val="9"/>
    <w:qFormat/>
    <w:pPr>
      <w:spacing w:after="120" w:before="120"/>
      <w:ind/>
      <w:jc w:val="both"/>
      <w:outlineLvl w:val="3"/>
    </w:pPr>
    <w:rPr>
      <w:rFonts w:ascii="XO Thames" w:hAnsi="XO Thames"/>
      <w:b w:val="1"/>
      <w:sz w:val="24"/>
    </w:rPr>
  </w:style>
  <w:style w:styleId="Style_41_ch" w:type="character">
    <w:name w:val="heading 4"/>
    <w:link w:val="Style_41"/>
    <w:rPr>
      <w:rFonts w:ascii="XO Thames" w:hAnsi="XO Thames"/>
      <w:b w:val="1"/>
      <w:sz w:val="24"/>
    </w:rPr>
  </w:style>
  <w:style w:styleId="Style_42" w:type="paragraph">
    <w:name w:val="heading 2"/>
    <w:next w:val="Style_7"/>
    <w:link w:val="Style_42_ch"/>
    <w:uiPriority w:val="9"/>
    <w:qFormat/>
    <w:pPr>
      <w:spacing w:after="120" w:before="120"/>
      <w:ind/>
      <w:jc w:val="both"/>
      <w:outlineLvl w:val="1"/>
    </w:pPr>
    <w:rPr>
      <w:rFonts w:ascii="XO Thames" w:hAnsi="XO Thames"/>
      <w:b w:val="1"/>
      <w:sz w:val="28"/>
    </w:rPr>
  </w:style>
  <w:style w:styleId="Style_42_ch" w:type="character">
    <w:name w:val="heading 2"/>
    <w:link w:val="Style_42"/>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header7.xml" Type="http://schemas.openxmlformats.org/officeDocument/2006/relationships/header"/>
  <Relationship Id="rId6" Target="footer6.xml" Type="http://schemas.openxmlformats.org/officeDocument/2006/relationships/footer"/>
  <Relationship Id="rId14" Target="theme/theme1.xml" Type="http://schemas.openxmlformats.org/officeDocument/2006/relationships/theme"/>
  <Relationship Id="rId13" Target="webSettings.xml" Type="http://schemas.openxmlformats.org/officeDocument/2006/relationships/webSettings"/>
  <Relationship Id="rId4" Target="footer4.xml" Type="http://schemas.openxmlformats.org/officeDocument/2006/relationships/footer"/>
  <Relationship Id="rId3" Target="header3.xml" Type="http://schemas.openxmlformats.org/officeDocument/2006/relationships/header"/>
  <Relationship Id="rId12" Target="stylesWithEffects.xml" Type="http://schemas.microsoft.com/office/2007/relationships/stylesWithEffects"/>
  <Relationship Id="rId10" Target="settings.xml" Type="http://schemas.openxmlformats.org/officeDocument/2006/relationships/settings"/>
  <Relationship Id="rId5" Target="header5.xml" Type="http://schemas.openxmlformats.org/officeDocument/2006/relationships/header"/>
  <Relationship Id="rId11" Target="styles.xml" Type="http://schemas.openxmlformats.org/officeDocument/2006/relationships/styles"/>
  <Relationship Id="rId8" Target="footer8.xml" Type="http://schemas.openxmlformats.org/officeDocument/2006/relationships/footer"/>
  <Relationship Id="rId2" Target="footer2.xml" Type="http://schemas.openxmlformats.org/officeDocument/2006/relationships/footer"/>
  <Relationship Id="rId9"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2026-07-08T08:54:18Z</dcterms:modified>
</cp:coreProperties>
</file>